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5460" w:right="760" w:hanging="5452"/>
        <w:spacing w:after="0" w:line="305" w:lineRule="auto"/>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 OR</w:t>
      </w:r>
    </w:p>
    <w:p>
      <w:pPr>
        <w:spacing w:after="0" w:line="37" w:lineRule="exact"/>
        <w:rPr>
          <w:sz w:val="24"/>
          <w:szCs w:val="24"/>
          <w:color w:val="auto"/>
        </w:rPr>
      </w:pPr>
    </w:p>
    <w:p>
      <w:pPr>
        <w:ind w:left="3880" w:right="1980" w:hanging="3872"/>
        <w:spacing w:after="0" w:line="328" w:lineRule="auto"/>
        <w:tabs>
          <w:tab w:leader="none" w:pos="46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4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720" w:right="1160" w:hanging="3712"/>
        <w:spacing w:after="0" w:line="328" w:lineRule="auto"/>
        <w:tabs>
          <w:tab w:leader="none" w:pos="477"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Jiayin Group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18th Floor, Building No. 1, Youyou Century Plaza,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428 South Yanggao Road, Pudong</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Area, Shanghai 200122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Chunlin Fan, Chief Financial Officer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 86 21-6190-6826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fanchunlin@jiayinfintech.cn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18th Floor, Building No. 1, Youyou Century Plaza,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428 South Yanggao Road, Pudong</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Area, Shanghai 200122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jc w:val="center"/>
        <w:ind w:right="20"/>
        <w:spacing w:after="0" w:line="237" w:lineRule="auto"/>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363"/>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140" w:type="dxa"/>
            <w:vAlign w:val="bottom"/>
          </w:tcPr>
          <w:p>
            <w:pPr>
              <w:spacing w:after="0"/>
              <w:rPr>
                <w:sz w:val="24"/>
                <w:szCs w:val="24"/>
                <w:color w:val="auto"/>
              </w:rPr>
            </w:pPr>
          </w:p>
        </w:tc>
        <w:tc>
          <w:tcPr>
            <w:tcW w:w="360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JFIN</w:t>
            </w:r>
          </w:p>
        </w:tc>
        <w:tc>
          <w:tcPr>
            <w:tcW w:w="140" w:type="dxa"/>
            <w:vAlign w:val="bottom"/>
          </w:tcPr>
          <w:p>
            <w:pPr>
              <w:spacing w:after="0"/>
              <w:rPr>
                <w:sz w:val="24"/>
                <w:szCs w:val="24"/>
                <w:color w:val="auto"/>
              </w:rPr>
            </w:pPr>
          </w:p>
        </w:tc>
        <w:tc>
          <w:tcPr>
            <w:tcW w:w="3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four Class A ordinary shares, par value</w:t>
            </w:r>
          </w:p>
        </w:tc>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US$0.000000005 per share</w:t>
            </w:r>
          </w:p>
        </w:tc>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w:t>
            </w:r>
          </w:p>
        </w:tc>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US$0.000000005 per share*</w:t>
            </w: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Not for trading, but only in connection with the listing on The Nasdaq Stock Market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42" w:lineRule="exact"/>
        <w:rPr>
          <w:sz w:val="20"/>
          <w:szCs w:val="20"/>
          <w:color w:val="auto"/>
        </w:rPr>
      </w:pPr>
    </w:p>
    <w:p>
      <w:pPr>
        <w:ind w:left="520" w:right="460"/>
        <w:spacing w:after="0" w:line="26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 There were 209,318,184 ordinary shares outstanding, consisting of 101,318,184 Class A ordinary shares and 108,000,000 Class B ordinary shares,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-260985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US$0.000000005 per share, as of December 31, 2025.</w:t>
      </w:r>
    </w:p>
    <w:p>
      <w:pPr>
        <w:spacing w:after="0" w:line="19" w:lineRule="exact"/>
        <w:rPr>
          <w:sz w:val="20"/>
          <w:szCs w:val="20"/>
          <w:color w:val="auto"/>
        </w:rPr>
      </w:pPr>
    </w:p>
    <w:p>
      <w:pPr>
        <w:ind w:left="520"/>
        <w:spacing w:after="0" w:line="184" w:lineRule="exact"/>
        <w:tabs>
          <w:tab w:leader="none" w:pos="8280" w:val="left"/>
          <w:tab w:leader="none" w:pos="892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85" w:lineRule="exact"/>
        <w:rPr>
          <w:sz w:val="20"/>
          <w:szCs w:val="20"/>
          <w:color w:val="auto"/>
        </w:rPr>
      </w:pPr>
    </w:p>
    <w:p>
      <w:pPr>
        <w:ind w:right="180" w:firstLine="509"/>
        <w:spacing w:after="0" w:line="216"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 w:lineRule="exact"/>
        <w:rPr>
          <w:sz w:val="20"/>
          <w:szCs w:val="20"/>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0"/>
          <w:szCs w:val="20"/>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20" w:firstLine="509"/>
        <w:spacing w:after="0" w:line="28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ectPr>
          <w:pgSz w:w="11900" w:h="16838" w:orient="portrait"/>
          <w:cols w:equalWidth="0" w:num="1">
            <w:col w:w="11240"/>
          </w:cols>
          <w:pgMar w:left="320" w:top="833" w:right="339" w:bottom="1440" w:gutter="0" w:footer="0" w:header="0"/>
        </w:sectPr>
      </w:pPr>
    </w:p>
    <w:p>
      <w:pPr>
        <w:spacing w:after="0" w:line="36"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1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11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0" w:lineRule="exact"/>
        <w:rPr>
          <w:sz w:val="20"/>
          <w:szCs w:val="20"/>
          <w:color w:val="auto"/>
        </w:rPr>
      </w:pPr>
    </w:p>
    <w:p>
      <w:pPr>
        <w:sectPr>
          <w:pgSz w:w="11900" w:h="16838" w:orient="portrait"/>
          <w:cols w:equalWidth="0" w:num="4">
            <w:col w:w="1540" w:space="720"/>
            <w:col w:w="5660" w:space="720"/>
            <w:col w:w="1760" w:space="600"/>
            <w:col w:w="240"/>
          </w:cols>
          <w:pgMar w:left="320" w:top="833" w:right="339" w:bottom="1440" w:gutter="0" w:footer="0" w:header="0"/>
          <w:type w:val="continuous"/>
        </w:sectPr>
      </w:pPr>
    </w:p>
    <w:p>
      <w:pPr>
        <w:ind w:right="12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21" w:lineRule="exact"/>
        <w:rPr>
          <w:sz w:val="20"/>
          <w:szCs w:val="20"/>
          <w:color w:val="auto"/>
        </w:rPr>
      </w:pPr>
    </w:p>
    <w:p>
      <w:pPr>
        <w:ind w:right="320" w:firstLine="517"/>
        <w:spacing w:after="0" w:line="298" w:lineRule="auto"/>
        <w:tabs>
          <w:tab w:leader="none" w:pos="63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23"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833" w:right="3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GAAP</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2" w:lineRule="exact"/>
        <w:rPr>
          <w:sz w:val="20"/>
          <w:szCs w:val="20"/>
          <w:color w:val="auto"/>
        </w:rPr>
      </w:pPr>
    </w:p>
    <w:p>
      <w:pPr>
        <w:sectPr>
          <w:pgSz w:w="11900" w:h="16838" w:orient="portrait"/>
          <w:cols w:equalWidth="0" w:num="5">
            <w:col w:w="780" w:space="80"/>
            <w:col w:w="2380" w:space="720"/>
            <w:col w:w="5220" w:space="720"/>
            <w:col w:w="380" w:space="80"/>
            <w:col w:w="880"/>
          </w:cols>
          <w:pgMar w:left="320" w:top="833" w:right="339" w:bottom="1440" w:gutter="0" w:footer="0" w:header="0"/>
          <w:type w:val="continuous"/>
        </w:sectPr>
      </w:pPr>
    </w:p>
    <w:p>
      <w:pPr>
        <w:ind w:right="12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 </w:t>
      </w:r>
      <w:r>
        <w:rPr>
          <w:rFonts w:ascii="MS PGothic" w:cs="MS PGothic" w:eastAsia="MS PGothic" w:hAnsi="MS PGothic"/>
          <w:sz w:val="16"/>
          <w:szCs w:val="16"/>
          <w:color w:val="auto"/>
        </w:rPr>
        <w:t>☐</w:t>
      </w:r>
    </w:p>
    <w:p>
      <w:pPr>
        <w:ind w:left="520" w:right="440"/>
        <w:spacing w:after="0" w:line="257"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(APPLICABLE ONLY TO ISSUERS INVOLVED IN BANKRUPTCY PROCEEDINGS DURING THE PAST FIVE YEARS)</w:t>
      </w:r>
    </w:p>
    <w:p>
      <w:pPr>
        <w:spacing w:after="0" w:line="74" w:lineRule="exact"/>
        <w:rPr>
          <w:sz w:val="20"/>
          <w:szCs w:val="20"/>
          <w:color w:val="auto"/>
        </w:rPr>
      </w:pPr>
    </w:p>
    <w:p>
      <w:pPr>
        <w:ind w:right="14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5"/>
        </w:trPr>
        <w:tc>
          <w:tcPr>
            <w:tcW w:w="99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FF"/>
              </w:rPr>
              <w:t>INTRODUCTION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99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20" w:type="dxa"/>
            <w:vAlign w:val="bottom"/>
            <w:tcBorders>
              <w:top w:val="single" w:sz="8" w:color="0000FF"/>
              <w:bottom w:val="single" w:sz="8" w:color="0000EE"/>
            </w:tcBorders>
          </w:tcPr>
          <w:p>
            <w:pPr>
              <w:spacing w:after="0"/>
              <w:rPr>
                <w:sz w:val="24"/>
                <w:szCs w:val="24"/>
                <w:color w:val="auto"/>
              </w:rPr>
            </w:pPr>
          </w:p>
        </w:tc>
        <w:tc>
          <w:tcPr>
            <w:tcW w:w="2360" w:type="dxa"/>
            <w:vAlign w:val="bottom"/>
            <w:tcBorders>
              <w:top w:val="single" w:sz="8" w:color="0000FF"/>
            </w:tcBorders>
            <w:gridSpan w:val="9"/>
          </w:tcPr>
          <w:p>
            <w:pPr>
              <w:spacing w:after="0"/>
              <w:rPr>
                <w:sz w:val="24"/>
                <w:szCs w:val="24"/>
                <w:color w:val="auto"/>
              </w:rPr>
            </w:pPr>
          </w:p>
        </w:tc>
        <w:tc>
          <w:tcPr>
            <w:tcW w:w="6940" w:type="dxa"/>
            <w:vAlign w:val="bottom"/>
            <w:gridSpan w:val="28"/>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1. IDENTITY OF DIRECTORS, SENIOR MANAGEMENT AND ADVISERS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480" w:type="dxa"/>
            <w:vAlign w:val="bottom"/>
          </w:tcPr>
          <w:p>
            <w:pPr>
              <w:spacing w:after="0"/>
              <w:rPr>
                <w:sz w:val="24"/>
                <w:szCs w:val="24"/>
                <w:color w:val="auto"/>
              </w:rPr>
            </w:pPr>
          </w:p>
        </w:tc>
        <w:tc>
          <w:tcPr>
            <w:tcW w:w="474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2. OFFER STATISTICS AND EXPECTED TIMETABLE</w:t>
            </w:r>
          </w:p>
        </w:tc>
        <w:tc>
          <w:tcPr>
            <w:tcW w:w="1520" w:type="dxa"/>
            <w:vAlign w:val="bottom"/>
            <w:tcBorders>
              <w:top w:val="single" w:sz="8" w:color="0000FF"/>
            </w:tcBorders>
            <w:gridSpan w:val="9"/>
          </w:tcPr>
          <w:p>
            <w:pPr>
              <w:spacing w:after="0"/>
              <w:rPr>
                <w:sz w:val="24"/>
                <w:szCs w:val="24"/>
                <w:color w:val="auto"/>
              </w:rPr>
            </w:pPr>
          </w:p>
        </w:tc>
        <w:tc>
          <w:tcPr>
            <w:tcW w:w="320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480" w:type="dxa"/>
            <w:vAlign w:val="bottom"/>
          </w:tcPr>
          <w:p>
            <w:pPr>
              <w:spacing w:after="0"/>
              <w:rPr>
                <w:sz w:val="24"/>
                <w:szCs w:val="24"/>
                <w:color w:val="auto"/>
              </w:rPr>
            </w:pPr>
          </w:p>
        </w:tc>
        <w:tc>
          <w:tcPr>
            <w:tcW w:w="2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KEY INFORMATION</w:t>
            </w:r>
          </w:p>
        </w:tc>
        <w:tc>
          <w:tcPr>
            <w:tcW w:w="7100" w:type="dxa"/>
            <w:vAlign w:val="bottom"/>
            <w:gridSpan w:val="29"/>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4. INFORMATION ON THE COMPANY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8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4A. UNRESOLVED STAFF COMMENTS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48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5. OPERATING AND FINANCIAL REVIEW AND PROSPECTS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18"/>
        </w:trPr>
        <w:tc>
          <w:tcPr>
            <w:tcW w:w="480" w:type="dxa"/>
            <w:vAlign w:val="bottom"/>
          </w:tcPr>
          <w:p>
            <w:pPr>
              <w:spacing w:after="0"/>
              <w:rPr>
                <w:sz w:val="24"/>
                <w:szCs w:val="24"/>
                <w:color w:val="auto"/>
              </w:rPr>
            </w:pPr>
          </w:p>
        </w:tc>
        <w:tc>
          <w:tcPr>
            <w:tcW w:w="53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ITEM 6. DIRECTORS, SENIOR MANAGEMENT AND EMPLOYEES</w:t>
            </w:r>
          </w:p>
        </w:tc>
        <w:tc>
          <w:tcPr>
            <w:tcW w:w="4120" w:type="dxa"/>
            <w:vAlign w:val="bottom"/>
            <w:gridSpan w:val="13"/>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80" w:type="dxa"/>
            <w:vAlign w:val="bottom"/>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7. MAJOR SHAREHOLDERS AND RELATED PARTY TRANSACTIONS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18"/>
        </w:trPr>
        <w:tc>
          <w:tcPr>
            <w:tcW w:w="48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8. FINANCIAL INFORMATION</w:t>
            </w:r>
          </w:p>
        </w:tc>
        <w:tc>
          <w:tcPr>
            <w:tcW w:w="3140" w:type="dxa"/>
            <w:vAlign w:val="bottom"/>
            <w:tcBorders>
              <w:top w:val="single" w:sz="8" w:color="0000FF"/>
            </w:tcBorders>
            <w:gridSpan w:val="17"/>
          </w:tcPr>
          <w:p>
            <w:pPr>
              <w:spacing w:after="0"/>
              <w:rPr>
                <w:sz w:val="24"/>
                <w:szCs w:val="24"/>
                <w:color w:val="auto"/>
              </w:rPr>
            </w:pPr>
          </w:p>
        </w:tc>
        <w:tc>
          <w:tcPr>
            <w:tcW w:w="338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18"/>
        </w:trPr>
        <w:tc>
          <w:tcPr>
            <w:tcW w:w="480" w:type="dxa"/>
            <w:vAlign w:val="bottom"/>
          </w:tcPr>
          <w:p>
            <w:pPr>
              <w:spacing w:after="0"/>
              <w:rPr>
                <w:sz w:val="24"/>
                <w:szCs w:val="24"/>
                <w:color w:val="auto"/>
              </w:rPr>
            </w:pPr>
          </w:p>
        </w:tc>
        <w:tc>
          <w:tcPr>
            <w:tcW w:w="2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9. THE OFFER AND LISTING</w:t>
            </w:r>
          </w:p>
        </w:tc>
        <w:tc>
          <w:tcPr>
            <w:tcW w:w="6660" w:type="dxa"/>
            <w:vAlign w:val="bottom"/>
            <w:gridSpan w:val="27"/>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17"/>
        </w:trPr>
        <w:tc>
          <w:tcPr>
            <w:tcW w:w="480" w:type="dxa"/>
            <w:vAlign w:val="bottom"/>
          </w:tcPr>
          <w:p>
            <w:pPr>
              <w:spacing w:after="0"/>
              <w:rPr>
                <w:sz w:val="24"/>
                <w:szCs w:val="24"/>
                <w:color w:val="auto"/>
              </w:rPr>
            </w:pPr>
          </w:p>
        </w:tc>
        <w:tc>
          <w:tcPr>
            <w:tcW w:w="3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10. ADDITIONAL INFORMATION</w:t>
            </w:r>
          </w:p>
        </w:tc>
        <w:tc>
          <w:tcPr>
            <w:tcW w:w="20" w:type="dxa"/>
            <w:vAlign w:val="bottom"/>
            <w:tcBorders>
              <w:bottom w:val="single" w:sz="8" w:color="0000EE"/>
            </w:tcBorders>
          </w:tcPr>
          <w:p>
            <w:pPr>
              <w:spacing w:after="0"/>
              <w:rPr>
                <w:sz w:val="24"/>
                <w:szCs w:val="24"/>
                <w:color w:val="auto"/>
              </w:rPr>
            </w:pPr>
          </w:p>
        </w:tc>
        <w:tc>
          <w:tcPr>
            <w:tcW w:w="6260" w:type="dxa"/>
            <w:vAlign w:val="bottom"/>
            <w:gridSpan w:val="23"/>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18"/>
        </w:trPr>
        <w:tc>
          <w:tcPr>
            <w:tcW w:w="480" w:type="dxa"/>
            <w:vAlign w:val="bottom"/>
          </w:tcPr>
          <w:p>
            <w:pPr>
              <w:spacing w:after="0"/>
              <w:rPr>
                <w:sz w:val="24"/>
                <w:szCs w:val="24"/>
                <w:color w:val="auto"/>
              </w:rPr>
            </w:pPr>
          </w:p>
        </w:tc>
        <w:tc>
          <w:tcPr>
            <w:tcW w:w="69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ITEM 11. QUANTITATIVE AND QUALITATIVE DISCLOSURES ABOUT MARKET RISK</w:t>
            </w:r>
          </w:p>
        </w:tc>
        <w:tc>
          <w:tcPr>
            <w:tcW w:w="250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18"/>
        </w:trPr>
        <w:tc>
          <w:tcPr>
            <w:tcW w:w="480" w:type="dxa"/>
            <w:vAlign w:val="bottom"/>
          </w:tcPr>
          <w:p>
            <w:pPr>
              <w:spacing w:after="0"/>
              <w:rPr>
                <w:sz w:val="24"/>
                <w:szCs w:val="24"/>
                <w:color w:val="auto"/>
              </w:rPr>
            </w:pPr>
          </w:p>
        </w:tc>
        <w:tc>
          <w:tcPr>
            <w:tcW w:w="62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ITEM 12. DESCRIPTION OF SECURITIES OTHER THAN EQUITY SECURITIES</w:t>
            </w:r>
          </w:p>
        </w:tc>
        <w:tc>
          <w:tcPr>
            <w:tcW w:w="322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18"/>
        </w:trPr>
        <w:tc>
          <w:tcPr>
            <w:tcW w:w="99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58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13. DEFAULTS, DIVIDEND ARREARAGES AND DELINQUENCIES</w:t>
            </w:r>
          </w:p>
        </w:tc>
        <w:tc>
          <w:tcPr>
            <w:tcW w:w="20" w:type="dxa"/>
            <w:vAlign w:val="bottom"/>
            <w:tcBorders>
              <w:bottom w:val="single" w:sz="8" w:color="0000EE"/>
            </w:tcBorders>
          </w:tcPr>
          <w:p>
            <w:pPr>
              <w:spacing w:after="0"/>
              <w:rPr>
                <w:sz w:val="24"/>
                <w:szCs w:val="24"/>
                <w:color w:val="auto"/>
              </w:rPr>
            </w:pPr>
          </w:p>
        </w:tc>
        <w:tc>
          <w:tcPr>
            <w:tcW w:w="364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18"/>
        </w:trPr>
        <w:tc>
          <w:tcPr>
            <w:tcW w:w="480" w:type="dxa"/>
            <w:vAlign w:val="bottom"/>
          </w:tcPr>
          <w:p>
            <w:pPr>
              <w:spacing w:after="0"/>
              <w:rPr>
                <w:sz w:val="24"/>
                <w:szCs w:val="24"/>
                <w:color w:val="auto"/>
              </w:rPr>
            </w:pPr>
          </w:p>
        </w:tc>
        <w:tc>
          <w:tcPr>
            <w:tcW w:w="866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ITEM 14. MATERIAL MODIFICATIONS TO THE RIGHTS OF SECURITY HOLDERS AND USE OF PROCEEDS</w:t>
            </w:r>
          </w:p>
        </w:tc>
        <w:tc>
          <w:tcPr>
            <w:tcW w:w="8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18"/>
        </w:trPr>
        <w:tc>
          <w:tcPr>
            <w:tcW w:w="480" w:type="dxa"/>
            <w:vAlign w:val="bottom"/>
          </w:tcPr>
          <w:p>
            <w:pPr>
              <w:spacing w:after="0"/>
              <w:rPr>
                <w:sz w:val="24"/>
                <w:szCs w:val="24"/>
                <w:color w:val="auto"/>
              </w:rPr>
            </w:pPr>
          </w:p>
        </w:tc>
        <w:tc>
          <w:tcPr>
            <w:tcW w:w="3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15. CONTROLS AND PROCEDURES</w:t>
            </w:r>
          </w:p>
        </w:tc>
        <w:tc>
          <w:tcPr>
            <w:tcW w:w="6100" w:type="dxa"/>
            <w:vAlign w:val="bottom"/>
            <w:gridSpan w:val="20"/>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18"/>
        </w:trPr>
        <w:tc>
          <w:tcPr>
            <w:tcW w:w="480" w:type="dxa"/>
            <w:vAlign w:val="bottom"/>
          </w:tcPr>
          <w:p>
            <w:pPr>
              <w:spacing w:after="0"/>
              <w:rPr>
                <w:sz w:val="24"/>
                <w:szCs w:val="24"/>
                <w:color w:val="auto"/>
              </w:rPr>
            </w:pPr>
          </w:p>
        </w:tc>
        <w:tc>
          <w:tcPr>
            <w:tcW w:w="4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ITEM 16A. AUDIT COMMITTEE FINANCIAL EXPERT</w:t>
            </w:r>
          </w:p>
        </w:tc>
        <w:tc>
          <w:tcPr>
            <w:tcW w:w="5160" w:type="dxa"/>
            <w:vAlign w:val="bottom"/>
            <w:gridSpan w:val="17"/>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317"/>
        </w:trPr>
        <w:tc>
          <w:tcPr>
            <w:tcW w:w="480" w:type="dxa"/>
            <w:vAlign w:val="bottom"/>
          </w:tcPr>
          <w:p>
            <w:pPr>
              <w:spacing w:after="0"/>
              <w:rPr>
                <w:sz w:val="24"/>
                <w:szCs w:val="24"/>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16B. CODE OF ETHICS</w:t>
            </w:r>
          </w:p>
        </w:tc>
        <w:tc>
          <w:tcPr>
            <w:tcW w:w="20" w:type="dxa"/>
            <w:vAlign w:val="bottom"/>
            <w:tcBorders>
              <w:bottom w:val="single" w:sz="8" w:color="0000EE"/>
            </w:tcBorders>
          </w:tcPr>
          <w:p>
            <w:pPr>
              <w:spacing w:after="0"/>
              <w:rPr>
                <w:sz w:val="24"/>
                <w:szCs w:val="24"/>
                <w:color w:val="auto"/>
              </w:rPr>
            </w:pPr>
          </w:p>
        </w:tc>
        <w:tc>
          <w:tcPr>
            <w:tcW w:w="7120" w:type="dxa"/>
            <w:vAlign w:val="bottom"/>
            <w:gridSpan w:val="30"/>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16C. PRINCIPAL ACCOUNTANT FEES AND SERVICES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48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70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ITEM 16D. EXEMPTIONS FROM THE LISTING STANDARDS FOR AUDIT COMMITTEES</w:t>
            </w:r>
          </w:p>
        </w:tc>
        <w:tc>
          <w:tcPr>
            <w:tcW w:w="20" w:type="dxa"/>
            <w:vAlign w:val="bottom"/>
            <w:tcBorders>
              <w:bottom w:val="single" w:sz="8" w:color="0000EE"/>
            </w:tcBorders>
          </w:tcPr>
          <w:p>
            <w:pPr>
              <w:spacing w:after="0"/>
              <w:rPr>
                <w:sz w:val="24"/>
                <w:szCs w:val="24"/>
                <w:color w:val="auto"/>
              </w:rPr>
            </w:pPr>
          </w:p>
        </w:tc>
        <w:tc>
          <w:tcPr>
            <w:tcW w:w="238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18"/>
        </w:trPr>
        <w:tc>
          <w:tcPr>
            <w:tcW w:w="480" w:type="dxa"/>
            <w:vAlign w:val="bottom"/>
          </w:tcPr>
          <w:p>
            <w:pPr>
              <w:spacing w:after="0"/>
              <w:rPr>
                <w:sz w:val="24"/>
                <w:szCs w:val="24"/>
                <w:color w:val="auto"/>
              </w:rPr>
            </w:pPr>
          </w:p>
        </w:tc>
        <w:tc>
          <w:tcPr>
            <w:tcW w:w="804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9"/>
              </w:rPr>
              <w:t>ITEM 16E. PURCHASES OF EQUITY SECURITIES BY THE ISSUER AND AFFILIATED PURCHASERS</w:t>
            </w:r>
          </w:p>
        </w:tc>
        <w:tc>
          <w:tcPr>
            <w:tcW w:w="142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16F. CHANGE IN REGISTRANT’S CERTIFYING ACCOUNTANT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18"/>
        </w:trPr>
        <w:tc>
          <w:tcPr>
            <w:tcW w:w="480" w:type="dxa"/>
            <w:vAlign w:val="bottom"/>
          </w:tcPr>
          <w:p>
            <w:pPr>
              <w:spacing w:after="0"/>
              <w:rPr>
                <w:sz w:val="24"/>
                <w:szCs w:val="24"/>
                <w:color w:val="auto"/>
              </w:rPr>
            </w:pPr>
          </w:p>
        </w:tc>
        <w:tc>
          <w:tcPr>
            <w:tcW w:w="326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16G. CORPORATE GOVERNANCE</w:t>
            </w:r>
          </w:p>
        </w:tc>
        <w:tc>
          <w:tcPr>
            <w:tcW w:w="2300" w:type="dxa"/>
            <w:vAlign w:val="bottom"/>
            <w:tcBorders>
              <w:top w:val="single" w:sz="8" w:color="0000FF"/>
            </w:tcBorders>
            <w:gridSpan w:val="9"/>
          </w:tcPr>
          <w:p>
            <w:pPr>
              <w:spacing w:after="0"/>
              <w:rPr>
                <w:sz w:val="24"/>
                <w:szCs w:val="24"/>
                <w:color w:val="auto"/>
              </w:rPr>
            </w:pPr>
          </w:p>
        </w:tc>
        <w:tc>
          <w:tcPr>
            <w:tcW w:w="390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18"/>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16H. MINE SAFETY DISCLOSURE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48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4540" w:type="dxa"/>
            <w:vAlign w:val="bottom"/>
            <w:gridSpan w:val="19"/>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94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ITEM 16I. DISCLOSURE REGARDING FOREIGN JURISDICTIONS THAT PREVENT INSPECTIONS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18"/>
        </w:trPr>
        <w:tc>
          <w:tcPr>
            <w:tcW w:w="480" w:type="dxa"/>
            <w:vAlign w:val="bottom"/>
          </w:tcPr>
          <w:p>
            <w:pPr>
              <w:spacing w:after="0"/>
              <w:rPr>
                <w:sz w:val="24"/>
                <w:szCs w:val="24"/>
                <w:color w:val="auto"/>
              </w:rPr>
            </w:pPr>
          </w:p>
        </w:tc>
        <w:tc>
          <w:tcPr>
            <w:tcW w:w="778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ITEM 16J. INSIDER TRADING POLICIES</w:t>
            </w:r>
          </w:p>
        </w:tc>
        <w:tc>
          <w:tcPr>
            <w:tcW w:w="168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17"/>
        </w:trPr>
        <w:tc>
          <w:tcPr>
            <w:tcW w:w="480" w:type="dxa"/>
            <w:vAlign w:val="bottom"/>
          </w:tcPr>
          <w:p>
            <w:pPr>
              <w:spacing w:after="0"/>
              <w:rPr>
                <w:sz w:val="24"/>
                <w:szCs w:val="24"/>
                <w:color w:val="auto"/>
              </w:rPr>
            </w:pPr>
          </w:p>
        </w:tc>
        <w:tc>
          <w:tcPr>
            <w:tcW w:w="32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ITEM 16K. CYBERSECURITY</w:t>
            </w:r>
          </w:p>
        </w:tc>
        <w:tc>
          <w:tcPr>
            <w:tcW w:w="6220" w:type="dxa"/>
            <w:vAlign w:val="bottom"/>
            <w:gridSpan w:val="22"/>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48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500" w:type="dxa"/>
            <w:vAlign w:val="bottom"/>
            <w:gridSpan w:val="2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8"/>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9180" w:type="dxa"/>
            <w:vAlign w:val="bottom"/>
            <w:gridSpan w:val="35"/>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48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17. FINANCIAL STATEMENTS</w:t>
            </w:r>
          </w:p>
        </w:tc>
        <w:tc>
          <w:tcPr>
            <w:tcW w:w="20" w:type="dxa"/>
            <w:vAlign w:val="bottom"/>
            <w:tcBorders>
              <w:bottom w:val="single" w:sz="8" w:color="0000EE"/>
            </w:tcBorders>
          </w:tcPr>
          <w:p>
            <w:pPr>
              <w:spacing w:after="0"/>
              <w:rPr>
                <w:sz w:val="24"/>
                <w:szCs w:val="24"/>
                <w:color w:val="auto"/>
              </w:rPr>
            </w:pPr>
          </w:p>
        </w:tc>
        <w:tc>
          <w:tcPr>
            <w:tcW w:w="6500" w:type="dxa"/>
            <w:vAlign w:val="bottom"/>
            <w:gridSpan w:val="25"/>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480" w:type="dxa"/>
            <w:vAlign w:val="bottom"/>
          </w:tcPr>
          <w:p>
            <w:pPr>
              <w:spacing w:after="0"/>
              <w:rPr>
                <w:sz w:val="24"/>
                <w:szCs w:val="24"/>
                <w:color w:val="auto"/>
              </w:rPr>
            </w:pPr>
          </w:p>
        </w:tc>
        <w:tc>
          <w:tcPr>
            <w:tcW w:w="2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18. FINANCIAL STATEMENTS</w:t>
            </w:r>
          </w:p>
        </w:tc>
        <w:tc>
          <w:tcPr>
            <w:tcW w:w="6520" w:type="dxa"/>
            <w:vAlign w:val="bottom"/>
            <w:gridSpan w:val="26"/>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18"/>
        </w:trPr>
        <w:tc>
          <w:tcPr>
            <w:tcW w:w="480" w:type="dxa"/>
            <w:vAlign w:val="bottom"/>
          </w:tcPr>
          <w:p>
            <w:pPr>
              <w:spacing w:after="0"/>
              <w:rPr>
                <w:sz w:val="24"/>
                <w:szCs w:val="24"/>
                <w:color w:val="auto"/>
              </w:rPr>
            </w:pPr>
          </w:p>
        </w:tc>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19. EXHIBITS</w:t>
            </w:r>
          </w:p>
        </w:tc>
        <w:tc>
          <w:tcPr>
            <w:tcW w:w="20" w:type="dxa"/>
            <w:vAlign w:val="bottom"/>
            <w:tcBorders>
              <w:bottom w:val="single" w:sz="8" w:color="0000EE"/>
            </w:tcBorders>
          </w:tcPr>
          <w:p>
            <w:pPr>
              <w:spacing w:after="0"/>
              <w:rPr>
                <w:sz w:val="24"/>
                <w:szCs w:val="24"/>
                <w:color w:val="auto"/>
              </w:rPr>
            </w:pPr>
          </w:p>
        </w:tc>
        <w:tc>
          <w:tcPr>
            <w:tcW w:w="7860" w:type="dxa"/>
            <w:vAlign w:val="bottom"/>
            <w:gridSpan w:val="32"/>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in this annual report on Form 20-F:</w:t>
      </w:r>
    </w:p>
    <w:p>
      <w:pPr>
        <w:spacing w:after="0" w:line="117" w:lineRule="exact"/>
        <w:rPr>
          <w:sz w:val="20"/>
          <w:szCs w:val="20"/>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four Class A ordinary shares;</w:t>
      </w:r>
    </w:p>
    <w:p>
      <w:pPr>
        <w:spacing w:after="0" w:line="117" w:lineRule="exact"/>
        <w:rPr>
          <w:rFonts w:ascii="Times New Roman" w:cs="Times New Roman" w:eastAsia="Times New Roman" w:hAnsi="Times New Roman"/>
          <w:sz w:val="18"/>
          <w:szCs w:val="18"/>
          <w:color w:val="auto"/>
        </w:rPr>
      </w:pPr>
    </w:p>
    <w:p>
      <w:pPr>
        <w:jc w:val="both"/>
        <w:ind w:left="1140" w:hanging="369"/>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including, for the purposes of this annual report only, Hong Kong Special Administrative Region and the Macau Special Administrative Region, unless referencing specific laws and regulations adopted by the People’s Republic of China and other legal and tax matters applicable only to Chinese Mainland; “PRC subsidiaries” and “PRC entities” refer to entities established in accordance with laws and regulations of Chinese Mainland;</w:t>
      </w:r>
    </w:p>
    <w:p>
      <w:pPr>
        <w:spacing w:after="0" w:line="71"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VIE” refers to Shanghai Jiayin Technology Co., Ltd. (“Jiayin Technology”, formerly known as Shanghai Jiayin Finance Technology Co., Ltd.);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Group” refers to Consolidated VIE and its subsidiaries.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funding partners” refers to the institutions that fund the loans that we and the VIE Group facilitate;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refers to the Hong Kong Special Administrative Region of the PRC;</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facilitation volume” refers to the loan facilitation volume facilitated in Chinese Mainland during the period presented;</w:t>
      </w:r>
    </w:p>
    <w:p>
      <w:pPr>
        <w:spacing w:after="0" w:line="117" w:lineRule="exact"/>
        <w:rPr>
          <w:rFonts w:ascii="Times New Roman" w:cs="Times New Roman" w:eastAsia="Times New Roman" w:hAnsi="Times New Roman"/>
          <w:sz w:val="18"/>
          <w:szCs w:val="18"/>
          <w:color w:val="auto"/>
        </w:rPr>
      </w:pPr>
    </w:p>
    <w:p>
      <w:pPr>
        <w:jc w:val="both"/>
        <w:ind w:left="1140" w:hanging="369"/>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“M3+ Delinquency Rate by Vintage” refers to the total amount of principal for all loans in a vintage for which any repayment was more than 90 days past due as of a particular date, less the total amount of past due principal recovered for such loans, and divided by the total amount of principal for all loans in such vintage. M3+ Delinquency Rate by Vintage for quarter vintage is calculated as the weighted average of M3+ Delinquency Rate by Vintage for each month in such quarter by loan facilitation volume;</w:t>
      </w:r>
    </w:p>
    <w:p>
      <w:pPr>
        <w:spacing w:after="0" w:line="71"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investors” refers to the investors that we and the VIE Group refer to third-party financial service providers under the investor referral services to purchase the investment products they offer on our Youdao wealth platform;</w:t>
      </w:r>
    </w:p>
    <w:p>
      <w:pPr>
        <w:spacing w:after="0" w:line="53"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“borrowers” for a certain period refers to the total number of borrowers whose loans facilitated through our and the VIE Group’s platform were funded during such period;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refers to Jiayin Group Inc., a Cayman Islands holding company;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users” refer to individuals who have registered on our and the VIE Group’s platform;</w:t>
      </w:r>
    </w:p>
    <w:p>
      <w:pPr>
        <w:spacing w:after="0" w:line="117"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borrowers” during a certain period refers to borrowers who borrowed in such period and have borrowed at least twice since such borrowers’ registration with us until the end of such period;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and Class B ordinary shares, par value US$0.000000005 per share;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 to the legal currency of China;</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refer to the legal currency of the United States;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“vintage” refers to loans facilitated through our and the VIE Group’s platform during a certain period;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“the Company” and “our” refer to the Parent and its subsidiaries;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Group” refers to Jiayin Technology and its subsidiaries.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reporting currency is the Renminbi because our business is mainly conducted in China and all of our revenues are denominated in Renminbi. This annual report contains translations of Renminbi amounts into U.S. dollars at specific rates solely for the convenience of the reader. The conversion of Renminbi into U.S. dollars in this annual report is based on the rate certified for customs purposes by the Federal Reserve Bank of New York. Unless otherwise noted, all translations from Renminbi to U.S. dollars and from U.S. dollars to Renminbi in this annual report were made at RMB 6.9931 to US$1.00, the noon buying rate on December 31, 2025 set forth in the H.10 statistical release of the U.S. Federal Reserve Board.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exchange and through restrictions on foreign trade.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72" w:lineRule="exact"/>
        <w:rPr>
          <w:sz w:val="20"/>
          <w:szCs w:val="20"/>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and strategies;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online consumer finance market in China;</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borrowers and institutional funding partners;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elsewhere;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You should thoroughly read this annual report and the documents that we refer to with the understanding that our actual future results may be materially different from and worse than what we expect. In addition, the rapidly changing nature of the online consumer finance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We qualify all of our forward-looking statements by these cautionary statements.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Jiayin Group Inc. is a Cayman Islands holding company primarily operating in China through (i) its PRC subsidiaries, including Shanghai Kunjia Technology Co., Ltd., or Shanghai Kunjia, and Shanghai Chuangzhen Technology Co., Ltd., or Chuangzhen Technology, and its subsidiaries in which we hold equity ownership interests, and (ii) contractual arrangements among (x) Shanghai Kunjia, (y) the consolidated variable interest entity, or the consolidated VIE, namely, Shanghai Jiayin Technology Co., Ltd., or Jiayin Technology, a limited liability company established under PRC law, and (z) the shareholders of the consolidated VIE. Jiayin Group Inc. does not hold any equity interest in the consolidated VIE. Investors in the ADSs thus are not purchasing, and may never hold, equity interests in the consolidated VIE. PRC laws, regulations, and rules restrict and impose conditions on direct foreign investment in China-based companies that engage in certain types of business, and we therefore operate these businesses in China through the VIE structure which provides investors with exposure to foreign investment in the Chinese operating companies. For a summary of these contractual arrangements, see “Item 4. Information on the Company—C. Organizational Structure.” As used in this annual report, “we,” “us” or “our” refers to Jiayin Group Inc. and its subsidiaries.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corporate structure is subject to risks relating to our contractual arrangements with Jiayin Technology and its shareholders. These contractual arrangements have not been tested in a court of law. If the PRC government finds these contractual arrangements non-compliant with the restrictions on direct foreign investment in the relevant industries, or if the relevant PRC laws, regulations, and rules or the interpretation thereof change in the future, we could be subject to severe penalties or be forced to relinquish our beneficial interest in the consolidated VIE or forfeit our rights under the contractual arrangements. If we are unable to claim our right to control the assets of the consolidated VIE, the ADSs may decline in value or become worthless. In addition, changes in China’s economic, political or social conditions, or government policies may cause our and the consolidated VIE’s underlying operations in China to become prohibitive, which could materially and adversely affect our and the consolidated VIE’s business, financial condition, and results of operations. See “Item 3. Key Information—D. Risk Factors—Risks Relating to Our Corporate Structure.”</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relating to doing business in China. We operate our business primarily in China, and are subject to complex and evolving PRC laws and regulations. The recent statements and regulatory actions by China’s government, such as those related to the use of data security, anti-monopoly concerns, and the regulatory approvals on overseas listings, may impact our ability to conduct the business, accept foreign investments and/or list on a U.S. or other foreign exchange. The interpretation and enforcement of PRC laws and regulations could limit the legal protection available to you and us, hinder our ability to offer or continue to offer the ADSs, result in a material adverse effect on our business operations, and damage our reputation, which might further cause the ADSs to significantly decline in value or become worthless. See “Item 3. Key Information—D. Risk Factors—Risks Relating to Doing Business in China.”</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16, 2021, the PCAOB issued a report notifying the Commission of its determinations that they are unable to inspect or investigate completely PCAOB-registered public accounting firms headquartered in Chinese Mainland and in Hong Kong. The report sets forth lists identifying the registered public accounting firms headquartered in Chinese Mainland and Hong Kong, respectively, that the PCAOB is unable to inspect or investigate completely. On December 15, 2022, the PCAOB announced that it was able to conduct inspections and investigations completely of PCAOB-registered public accounting firms headquartered in Chinese Mainland and Hong Kong in 2022. The PCAOB vacated its previous determinations issued in December 2021 accordingly. We do not expect to be identified as a “Commission-Identified Issuer” under the HFCAA for the fiscal year ended December 31, 2025 after we file our annual report on Form 20-F for such fiscal year.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Should the PCAOB again encounter impediments to inspections and investigations in Chinese Mainland or Hong Kong as a result of positions taken by any authority in either jurisdiction, the PCAOB will make determinations under the HFCAA as and when appropriate.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on December 29, 2022, the Consolidated Appropriations Act, 2023 was signed into law, which, among others, amended the HFCAA to reduce the number of consecutive years an issuer can be identified as a Commission-Identified Issuer before the SEC must impose an initial trading prohibition on the issuer’s securities from three years to two. Therefore, once an issuer is identified as a Commission-Identified Issuer for two consecutive years, the SEC is required under the HFCAA to prohibit the trading of the issuer’s securities on a national securities exchange and in the over-the-counter market. For more details, see “Item 3. Key Information—D. Risk Factors—Risks Relating to Our Business and Industry—Trading in our securities may be prohibited under the Holding Foreign Companies Accountable Act or the Accelerating Holding Foreign Companies Accountable Act, if it is later determined that the PCAOB is unable to inspect or investigate completely our auditor, and as a result, U.S. national securities exchanges, such as Nasdaq, may determine to delist our securities.”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Flows Between Jiayin Group Inc., Its Subsidiaries and the Consolidated VIE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PRC law, we may provide funding to our PRC subsidiaries only through capital contributions or loans, and to the consolidated VIE only through loans, subject to the satisfaction of applicable government registration and approval requirements. We rely on dividends and other distributions from our PRC subsidiaries to satisfy part of our liquidity requirement. Under the contractual arrangements among Shanghai Kunjia, the consolidated VIE, and the shareholders of the consolidated VIE, Shanghai Kunjia is entitled to substantially all of the economic benefits of the consolidated VIE and its subsidiaries in the form of service fees. For risks relating to the fund flows of our China operations, see “Item 3. Key Information—D. Risk Factors—Risks Relating to Doing Business in China—PRC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 and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Transfer of funds between any entities in our consolidated group is subject to our cash management policy that outlines appropriate internal control procedures on the handling, depositing, receiving, transferring, safeguarding, and documentation and recording of cash assets. The finance department at the Jiayin Group Inc. level with authorized persons at each entity has the centralized responsibility for undertaking cash handling activity. Based on the amount of a fund transfer and the nature of the use of funds, requisite internal approval must be obtained prior to each fund transfer: all transactions require, at a minimum, the approval of the financial controller; for certain transactions with large amounts, approval of our vice president of finance, and in some instances, approval of both our vice president of finance and chief executive officer, is also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Transfer Occurred Between the Parent, Its Subsidiaries and the Consolidated VIE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Contractual Arrangements, Shanghai Kunjia provides services to the consolidated VIE and is entitled to receive service fees from the consolidated VIE in exchange. The Contractual Arrangements provide that for any fiscal quarter where the consolidated VIE records pre-tax profit, the consolidated VIE shall pay to Shanghai Kunjia a service fee at an amount equivalent to its pre-tax profit excluding service fees under U.S. GAAP after making up the accumulated losses under U.S. GAAP from prior years, subject to compliance with applicable PRC laws. Notwithstanding the foregoing, pursuant to the Contractual Arrangements, Shanghai Kunjia is entitled to adjust the service fee based on the operating status and needs for business development of the consolidated VIE, and by considering among other things, the complexity of the services, the actual costs that may be incurred to provide the services, as well as the value and comparable price on the market of such services.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2024 and 2025, the VIE Group was in an accumulated deficit position. The VIE Group had accumulated deficits of RMB636.1 million, RMB613.7 million and RMB559.9 million (US$80.1 million) as of December 31, 2023, 2024 and 2025, respectively. In light of that, Shanghai Kunjia did not charge the consolidated VIE for any service fees, and consequently, the consolidated VIE had not paid any service fees to Shanghai Kunjia as of December 31, 2025. Shanghai Kunjia intends to charge the consolidated VIE for service fees after the pre-tax profit under U.S. GAAP of the consolidated VIE exceeds its accumulated losses under U.S. GAAP, pursuant to the Contractual Arrangements. For the years ended December 31, 2023, 2024 and 2025, the Parent company received the cash dividends from its PRC subsidiaries of RMB157.7 million, RMB303.7 million and RMB81.3 million (US$11.6 million), respectively.</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loans to some of our overseas subsidiaries to support their business growth. We provided loans of RMB5.6 million, nil and nil to our overseas subsidiaries in Nigeria to extend small credit loan business to individual borrowers in 2023, 2024 and 2025, respectively. As of the date of this annual report, we have disposed of our subsidiaries in Nigeria. In 2023, 2024 and 2025, we did not make any capital contribution or provide any loan to our PRC subsidiaries or the consolidated VIE.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Neither the subsidiaries of the Parent nor the consolidated VIE is obligated to make dividends or distributions to the Parent under the Contractual Arrangements. As of the date of this annual report, dividends of RMB542.7 million (US$77.6 million) have been made to the Parent by the Parent’s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Distributions on Our ADSs or Class A Ordinary Shares Made to the U.S. Investors and Their Tax Consequences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Jiayin Technology paid a cash dividend of RMB400.0 million to its shareholders in March 2018 before entering into the Contractual Arrangements. The dividend was distributed to facilitate the delisting of Jiayin Technology from the National Equities Exchange and Quotations Co., Ltd., or the NEEQ, and to fund the settlement of related party balances.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March 28, 2023, our board of directors, or the Board, approved and adopted a dividend policy, under which we and the VIE Group may choose to declare and distribute cash dividend twice each fiscal year, starting from 2023, at an aggregate amount of no less than 15% of the net income after tax of we and the VIE Group in the previous fiscal year on a consolidated basis. On July 10, 2023, our board of directors approved the payment of a cash dividend of US$0.10 per ordinary share, or US$0.40 per ADS ("July 2023 Dividend"). The aggregate amount of cash distributed for the July 2023 Dividend was approximately US$21.5 million. On January 8, 2024, our board of directors approved the payment of a cash dividend of US$0.10 per ordinary share, or US$0.40 per ADS ("January 2024 Dividend"). The aggregate amount of cash distributed for the January 2024 Dividend was US$21.2 million. On August 16, 2024, our board of directors approved the payment of a cash dividend of US$0.125 per ordinary share, or US$0.50 per ADS ("August 2024 Dividend"). The aggregate amount of cash distributed for the August 2024 Dividend was US$26.6 million. On November 19, 2024, our board of directors approved and adopted an amended dividend policy (the “Amended Dividend Policy”) to replace the prior dividend policy in its entirety, with immediate effect. Under the Amended Dividend Policy, we may choose to declare and distribute a cash dividend once each fiscal year, starting from 2025, at an aggregate amount of no less than 15% of our net income after tax in the previous fiscal year. On March 27, 2025, in order to provide investors with higher returns, our board of directors approved and adopted a further adjustment to the Amended Dividend Policy to increase the annual dividend amount such that we may choose to declare and distribute a cash dividend once each fiscal year, starting from 2025, at an aggregate amount of around 30% of our net income after tax in the previous fiscal year. The determination to make dividend distributions in any particular fiscal year will be made at the discretion of our board of directors based upon factors such as our results of operations, cash flow, general financial condition, capital requirements, contractual restrictions and other factors as our board of directors may deem relevant. On May 20, 2025, our board of directors approved the payment of a cash dividend of US$0.20 per ordinary share, or US$0.80 per ADS ("May 2025 Dividend"). The aggregate amount of cash distributed for the May 2025 Dividend was approximately US$41.1 million. For more details, see “Item 8. Financial Information—A. Consolidated Statements and Other Financial Information—Dividend Policy.”</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subject to the passive foreign investment company rules discussed in detail under “Item 10. Additional Information—E. Taxation— Passive Foreign Investment Company”, the gross amount of any distribution that we make to investors with respect to our ADSs or Class A ordinary shares (including any amounts withheld to reflect PRC or other withholding taxes) will be taxable as a dividend, to the extent paid out of our current or accumulated earnings and profits, as determined under United States federal income tax principles. Furthermore, if we are considered a PRC tax resident enterprise for tax purposes, any dividends we pay to our overseas shareholders may be regarded as China-sourced income and as a result may be subject to PRC withholding tax. See “Item 3. Key Information—D. Risk Factors—Risks Relating to Doing Business in China—If we are classified as a PRC resident enterprise for PRC income tax purposes, such classification could result in unfavorable tax consequences to us and our non-PRC shareholders or ADS holders.” For further discussion on PRC and United States federal income tax considerations of an investment in the ADSs, see “Item 10. Additional Information—E. Taxation.”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cash dividends, if any, will be paid in U.S. dollars. The PRC government imposes controls on the convertibility of Renminbi into foreign currencies and, in certain cases, the remittance of currency out of Chinese Mainland. The majority of our income is received in Renminbi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Renminbi is converted into foreign currency and remitted out of Chinese Mainland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to pay dividends only out of their retained earnings, if any, as determined in accordance with PRC accounting standards and regulations. Additionally, our PRC subsidiaries and the consolidated VIE can only distribute dividends upon approval of the shareholders after they have met the PRC requirements for appropriation to the statutory reserves. As a result of these and other restrictions under the PRC laws and regulations, our PRC subsidiaries and the consolidated VIE are restricted to transfer a portion of their net assets to us either in the form of dividends, loans or advances. Even though we currently do not require any such dividends, loans or advances from our PRC subsidiaries and the consolidated VIE for working capital and other funding purposes, we may in the future require additional cash resources from our PRC subsidiaries and the consolidated VIE due to changes in business conditions, to fund future acquisitions and developments, or merely declare and pay dividends to or distributions to our shareholders.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our Hong Kong subsidiary, Geerong (HK) Limited, there are no restrictions or limitations on its ability to transfer cash out of Hong Kong under the laws and regulations of Hong Kong that are in place as of the date of this annual report. However, if Geerong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(HK) Limited is not able to transfer cash out of Hong Kong, we will not be able to fund operations in other regions or have it available to distribute to our investors.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had difficulties in transferring cash between any entities in our consolidated group whether in the form of dividends or payments of intercompany obligations.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 diagram illustrating the typical fund flow among Jiayin Group Inc., our PRC subsidiaries and the consolidated VIE, see “Item 3. Key Information—Restrictions on Foreign Exchange and the Ability to Transfer Cash between Entities, Across Borders and to U.S. Investors.”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 condensed consolidating schedule depicting the financial position, cash flow and results of operations for the Parent, the consolidated VIE, and any eliminating adjustments separately, see “Item 3. Key Information—Condensed Consolidation Schedule.”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Consolidated VIE and China Operations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Jiayin Group Inc. is a Cayman Islands holding company primarily operating in China through (i) its PRC subsidiaries, including Shanghai Kunjia and Chuangzhen Technology and its subsidiaries, in which we hold equity ownership interests, and (ii) contractual arrangements among (x) Shanghai Kunjia, (y) the consolidated VIE, namely, Jiayin Technology, and (z) the shareholders of the consolidated VIE. We do not own any equity interest in Jiayin Technology. Investors in the ADSs thus are not purchasing, and may never hold, equity interests in the Jiayin Technology. PRC laws, regulations, and rules restrict and impose conditions on direct foreign investment in China-based companies that engage in certain types of business, and we therefore operate these businesses in China through the VIE structure which provides investors with exposure to foreign investment in the Chinese operating companies.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determined that we control Jiayin Technology for financial reporting purpose in accordance with the contractual arrangements. In June 2018, Shanghai Kunjia entered into a series of contractual arrangements with Jiayin Technology and its shareholders, allowing us to exercise effective control over Jiayin Technology. These agreements or their forms include:(i) an exclusive consultation and service agreement, which enables us to receive substantially all of the economic benefits of Jiayin Technology and its subsidiaries, (ii) powers of attorney and an equity pledge agreement, which provide us with effective control over Jiayin Technology, and (iii) an exclusive call option agreement, which provides us with the option to purchase all of the equity interests in Jiayin Technology. For more details of these contractual arrangements, see “Item 4. Information on the Company—C. Organizational Structure—Contractual Arrangements among Shanghai Kunjia, Jiayin Technology and the Shareholders of Jiayin Technology.”</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However, control through these contractual arrangements may be less effective than direct ownership, and we could face heightened risks and costs in enforcing these contractual arrangements, because it remains to be observed regarding the interpretation and application of current and future PRC laws, regulations, and rules relating to these contractual arrangements, and these contractual arrangements have not been tested in a court of law. If the PRC government finds such agreements non-compliant with relevant PRC laws, regulations, and rules, or if these laws, regulations, and rules or the interpretation thereof change in the future, we could be subject to severe penalties or be forced to relinquish our beneficial interest in Jiayin Technology or forfeit our rights under the contractual arrangements. See “Item 3. Key Information—D. Risk Factors—Risks Relating to Our Corporate Structure—The interpretation and implementation of the Foreign Investment Law of the PRC may impact the viability of our current corporate structure, corporate governance and business operations,” “—If the PRC government deems that the Contractual Arrangements in relation to Jiayin Technology do not comply with PRC regulatory restrictions on foreign investment in the relevant industries, or if these regulations or the interpretation of existing regulations change in the future, we could be subject to severe penalties or be forced to relinquish our beneficial interest in those operations,” and “—We rely on Contractual Arrangements with Jiayin Technology and shareholders of Jiayin Technology for certain business operations, which may not be as effective as direct ownership in providing operational control, and these contractual arrangements have not been tested in a court of law.”</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diagram illustrates the corporate structure of us and the consolidated VIE, including the names, places of incorporation and the proportion of ownership interests in our and the consolidated VIE’s significant subsidiaries and consolidated affiliated entities and their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5829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0"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Southeast Asia Holdings Limited was established in February 2018 to develop and operate our overseas business.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5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Technology is owned as to 58% by Mr. Dinggui Yan, our founder, director and chief executive officer, 27% by Shanghai Jinmushuihuotu Investment Center (Limited Partnership), or Jinmushuihuotu Investment, 12% by Mr. Guanglin Zhang, and 3% by Mr. Yuanle Wu, who both are employees of our company. Jinmushuihuotu Investment is established in connection with the share incentive plan of Jiayin Technology. See “Item 6. Directors, Senior Management and Employees—B. Compensation—Share Incentive Plans—2019 Share Incentive Plan.” The general partner of Jinmushuihuotu Investment is Shanghai Jinmushuihuotu Marketing and Planning Co., Ltd., or Jinmushuihuotu Marketing, which is controlled by Mr. Dinggui Yan.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Technology entered into Contractual Arrangements with Shanghai Kunjia. See “Item 4. Information on the Company—C. Organizational Structure—Contractual Arrangements among Shanghai Kunjia, Jiayin Technology and the shareholders of Jiayin Technology.”</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Jiangxi Yunkaijianming Technology Co., Ltd. (“Jiangxi Yunkaijianming”, formerly known as “Geerong Yun (Shanghai) Technology Development Co., Ltd.) became our wholly-owned subsidiary after the business combination in September 2019.</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Jiajie Internet Information Services Co., Ltd. (“Shanghai Jiajie”, formerly known as Shanghai Jiajie Internet Finance Information Services Co., Ltd.”) became our wholly-owned subsidiary after the business combination in July 2019.</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Chuangzhen Software Co., Ltd. (“Chuangzhen Software”) was established in April 2020.</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Shuke Information Technology Co., Ltd. (“Jiayin Shuke”) was established in January 2021.</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Hainan Yinke Financing Guarantee Co., Ltd. (“Hainan Yinke”) was established in August 2021.</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Guangxi Chuangzhen Information Technology Co., Ltd. (“Guangxi Chuangzhen”) was established in January 2022.</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Jirongzhicheng Enterprise Development Co., Ltd. (“Shanghai Jirongzhicheng”) was established in November 2024.</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Jiazhen Software Co., Ltd. (“Jiazhen Software”) was established in January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Flows Between Jiayin Group Inc., Its Subsidiaries and the Consolidated VIE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PRC law, we may provide funding to our PRC subsidiaries only through capital contributions or loans, and to the consolidated VIE only through loans, subject to the satisfaction of applicable government registration and approval requirements. We rely on dividends and other distributions from our PRC subsidiaries to satisfy part of our liquidity requirement. Under the contractual arrangements among Shanghai Kunjia, the consolidated VIE, and the shareholders of the consolidated VIE, Shanghai Kunjia is entitled to substantially all of the economic benefits of the consolidated VIE and its subsidiaries in the form of service fees.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risks relating to the fund flows of our China operations, you should carefully consider the risks described under “Item 3. Key Information—D.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Factors—Risks Relating to Doing Business in China” including, but not limited to, the following:</w:t>
      </w:r>
    </w:p>
    <w:p>
      <w:pPr>
        <w:spacing w:after="0" w:line="207"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and the consolidated VIE, which could materially and adversely affect our liquidity and our ability to fund and expand our business;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administration of conversion and remittance of foreign currency may limit our ability to transfer cash out of China to fund any cash and financing requirements we may have, and may affect the value of your investment.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 condensed consolidating schedule depicting the financial position, cash flow and results of operations for the Parent, the consolidated VIE, and any eliminating adjustments separately, see “Item 3. Key Information—Condensed Consolidation Schedule”.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Transfer of funds between any entities in our consolidated group is subject to our cash management policy that outlines appropriate internal control procedures on the handling, depositing, receiving, transferring, safeguarding, and documentation and recording of cash assets. The finance department at the Jiayin Group Inc. level with authorized persons at each entity has the centralized responsibility for undertaking cash handling activity. Based on the amount of a fund transfer and the nature of the use of funds, requisite internal approval must be obtained prior to each fund transfer: all transactions require, at a minimum, the approval of the financial controller; for certain transactions with large amounts, approval of our vice president of finance, and in some instances, approval of both our vice president of finance and chief executive officer, is also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Transfer Occurred Between the Parent, Its Subsidiaries and the Consolidated VIE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Contractual Arrangements, Shanghai Kunjia provides services to the consolidated VIE and is entitled to receive service fees from the consolidated VIE in exchange. The Contractual Arrangements provide that for any fiscal quarter where the consolidated VIE records pre-tax profit, the consolidated VIE shall pay to Shanghai Kunjia a service fee at an amount equivalent to its pre-tax profit excluding service fees under U.S. GAAP after making up the accumulated losses under U.S. GAAP from prior years, subject to compliance with applicable PRC laws. Notwithstanding the foregoing, pursuant to the Contractual Arrangements, Shanghai Kunjia is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entitled to adjust the service fee based on the operating status and needs for business development of the consolidated VIE, and by considering among other things, the complexity of the services, the actual costs that may be incurred to provide the services, as well as the value and comparable price on the market of such services.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2024 and 2025, the VIE Group was in an accumulated deficit position. The VIE Group had accumulated deficits of RMB636.1 million, RMB613.7 million and RMB559.9 million (US$80.1 million) as of December 31, 2023, 2024 and 2025, respectively. In light of that, Shanghai Kunjia did not charge the consolidated VIE for any service fees, and consequently, the consolidated VIE had not paid any service fees to Shanghai Kunjia as of December 31, 2025. Shanghai Kunjia intends to charge the consolidated VIE for service fees after the pre-tax profit under U.S. GAAP of the consolidated VIE exceeds its accumulated losses under U.S. GAAP, pursuant to the Contractual Arrangements. For the years ended December 31, 2023, 2024 and 2025, the Parent company received the cash dividends from its PRC subsidiaries of RMB157.7, RMB303.7 and RMB81.3 million (US$11.6 million), respectively.</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loans to some of our overseas subsidiaries to support their business growth. We provided loans of RMB5.6 million, nil and nil to our overseas subsidiaries in Nigeria to extend small credit loan business to individual borrowers in 2023, 2024 and 2025, respectively. As of the date of this annual report, we have disposed of our subsidiaries in Nigeria. In 2023, 2024 and 2025, we did not make any capital contribution or provide any loan to our PRC subsidiaries or the consolidated VIE.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Neither the subsidiaries of the Parent nor the consolidated VIE is obligated to make dividends or distributions to the Parent under the Contractual Arrangements. As of the date of this annual report, dividends of RMB542.7 million (US$77.6 million) have been made to the Parent by the Parent’s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or Distributions on Our ADSs or Class A Ordinary Shares Made to the U.S. Investors and Their Tax Consequences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Jiayin Technology paid a cash dividend of RMB400.0 million to its shareholders in March 2018 before entering into the Contractual Arrangements. The dividend was distributed to facilitate the delisting of Jiayin Technology from the National Equities Exchange and Quotations Co., Ltd., or the NEEQ, and to fund the settlement of related party balances.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28, 2023, our Board approved and adopted a dividend policy, under which the Company may choose to declare and distribute cash dividend twice each fiscal year, starting from 2023, at an aggregate amount of no less than 15% of the net income after tax of the Company in the previous fiscal year. On November 19, 2024, our board of directors approved and adopted an amended dividend policy (the “Amended Dividend Policy”) to replace the prior dividend policy in its entirety, with immediate effect. Under the Amended Dividend Policy, we may choose to declare and distribute a cash dividend once each fiscal year, starting from 2025, at an aggregate amount of no less than 15% of our net income after tax in the previous fiscal year. On March 27, 2025, in order to provide investors with higher returns, our board of directors approved and adopted a further adjustment to the Amended Dividend Policy to increase the annual dividend amount such that we may choose to declare and distribute a cash dividend once each fiscal year, starting from 2025, at an aggregate amount of around 30% of our net income after tax in the previous fiscal year. The determination to make dividend distributions in any particular fiscal year will be made at the discretion of our board of directors based upon factors such as our results of operations, cash flow, general financial condition, capital requirements, contractual restrictions and other factors as our board of directors may deem relevant. For more details, see “Item 8. Financial Information—A. Consolidated Statements and Other Financial Information—Dividend Policy.”</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subject to the passive foreign investment company rules discussed in detail under “Item 10. Additional Information—E. Taxation— Passive Foreign Investment Company”, the gross amount of any distribution that we make to investors with respect to our ADSs or Class A ordinary shares (including any amounts withheld to reflect PRC or other withholding taxes) will be taxable as a dividend, to the extent paid out of our current or accumulated earnings and profits, as determined under United States federal income tax principles. Furthermore, if we are considered a PRC tax resident enterprise for tax purposes, any dividends we pay to our overseas shareholders may be regarded as China-sourced income and as a result may be subject to PRC withholding tax. See “Item 3. Key Information—D. Risk Factors—Risks Relating to Doing Business in China—If we are classified as a PRC resident enterprise for PRC income tax purposes, such classification could result in unfavorable tax consequences to us and our non-PRC shareholders or ADS holders.” For further discussion on PRC and United States federal income tax considerations of an investment in the ADSs, see “Item 10—Additional Information—E. Taxation.”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cash dividends, if any, will be paid in U.S. dollars. The PRC government imposes administrative measures on the convertibility of Renminbi into foreign currencies and, in certain cases, the remittance of currency out of Chinese Mainland. The majority of our income is received in Renminbi and shortages in foreign currencies may restrict our ability to pay dividends or other payments, or otherwise satisfy our foreign currency denominated obligations, if any. Under existing PRC foreign exchange regulations, payments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Renminbi is converted into foreign currency and remitted out of Chinese Mainland to pay capital expenses such as the repayment of loans denominated in foreign currencies. The PRC government may, impose administrative measures on access to foreign currencies for current account transactions and if this occurs in the future, we may not be able to pay dividends in foreign currencies to our shareholders.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such as our PRC subsidiaries and the consolidated VIE, to pay dividends only out of their retained earnings, if any, as determined in accordance with PRC accounting standards and regulations. Each of our PRC subsidiaries and the consolidated VIE that is in retained earnings position as of the end of each year is required to set aside 10% of its after-tax profits each year, if any, to fund certain statutory reserve funds until such reserve funds reach 50% of its registered capital. The aforementioned registered capital refers to the total amount of share capital of all issued shares or the total amount of capital contribution subscribed by all shareholders, as registered with the registration authority. Furthermore, each of our PRC subsidiaries and the consolidated VIE may allocate a portion of its after-tax profits based on PRC accounting standards to a discretionary surplus fund at their discretion. The statutory reserve funds and the discretionary surplus funds are not distributable as cash dividends. After our PRC subsidiaries and the consolidated VIE have generated retained earnings and met the requirements for appropriation to the statutory reserves and until such reserves reach 50% of its registered capital, respectively, our PRC subsidiaries and the consolidated VIE can distribute dividends upon approval of the shareholders. As a result of these and other restrictions under the PRC laws and regulations, our PRC subsidiaries and the consolidated VIE are restricted to transfer a portion of their net assets to us either in the form of dividends, loans or advances. Even though we currently do not require any such dividends, loans or advances from our PRC subsidiaries and the consolidated VIE for working capital and other funding purposes, we may in the future require additional cash resources from our PRC subsidiaries and the consolidated VIE due to changes in business conditions, to fund future acquisitions and developments, or merely declare and pay dividends to or distributions to our shareholders.</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our Hong Kong subsidiary, Geerong (HK) Limited, there are no restrictions or limitations on its ability to transfer cash out of Hong Kong under the laws and regulations of Hong Kong that are in place as of the date of this annual report. However, if Geerong (HK) Limited is not able to transfer cash out of Hong Kong, we will not be able to fund operations in other regions or have it available to distribute to our investors.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had difficulties in transferring cash between any entities in our consolidated group whether in the form of dividends or payments of intercompany obligations.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diagram illustrates the typical fund flow among Jiayin Group Inc., our PRC subsidiaries, and the consolidated VIE.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1570990</wp:posOffset>
            </wp:positionH>
            <wp:positionV relativeFrom="page">
              <wp:posOffset>1014730</wp:posOffset>
            </wp:positionV>
            <wp:extent cx="4414520" cy="3669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41452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Consolidation Schedule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tables set forth the summary consolidated balance sheets data as of December 31, 2024 and 2025 of (i) the Parent, (ii) the WFOE, (iii) the other subsidiaries of the Parent inside and outside Chinese Mainland, separately, and (iv) the VIE Group, and the summary of the consolidated statement of income and cash flows for the years ended December 31, 2023 and 2024 and 2025. Our and the VIE Group’s consolidated financial statements are prepared and presented in accordance with accounting principles generally accepted in the United States, or U.S. GAAP except that the equity method has been used to account for investments in subsidiaries and VIE. Our and the VIE Group’s historical results are not necessarily indicative of results expected for future periods. You should read this information together with our and the VIE Group’s consolidated financial statements and the related notes and “Item 5. Operating and Financial Review and Prospects” included elsewhere in this annual report.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3"/>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1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Shanghai Kunjia</w:t>
            </w:r>
          </w:p>
        </w:tc>
        <w:tc>
          <w:tcPr>
            <w:tcW w:w="12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9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112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and contract assets,</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3,715,084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3,732,677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 net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302,077</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Investment in</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subsidiaries and</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VIE and VIE's</w:t>
            </w: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subsidiaries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4,742,735</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200,591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4,876,593</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(9,819,919)</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balances*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(73,293)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358,272</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(1,039)</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(62,223)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(221,717)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17,636</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61,039</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4,561,123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19,576</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4,659,374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4,688,202</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440,686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200,706</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8,264,333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4,981,957</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(9,819,919)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8,755,965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payables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1,009,331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2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1,054,527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255,218</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198,495</w:t>
            </w:r>
          </w:p>
        </w:tc>
        <w:tc>
          <w:tcPr>
            <w:tcW w:w="2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2,579,025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237,185</w:t>
            </w:r>
          </w:p>
        </w:tc>
        <w:tc>
          <w:tcPr>
            <w:tcW w:w="2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3,270,012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255,218</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240,095</w:t>
            </w: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3,588,356</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240,780</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4,324,539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4,432,984</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200,591</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200,616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4,675,977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4,741,177</w:t>
            </w:r>
          </w:p>
        </w:tc>
        <w:tc>
          <w:tcPr>
            <w:tcW w:w="2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(9,819,919)</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4,431,426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-830580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-830580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-830580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-830580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-830580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-830580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-830580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-281940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-281940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-281940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-281940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-281940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23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1"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balances resulted from regular transactions in the business operations of the entities, and no service fees were charged by Shanghai Kunjia.</w:t>
      </w:r>
    </w:p>
    <w:p>
      <w:pPr>
        <w:spacing w:after="0" w:line="11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9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(WFOE)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(RMB in thousands)</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530,424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and contract assets,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54,404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2,932,351</w:t>
            </w:r>
          </w:p>
        </w:tc>
        <w:tc>
          <w:tcPr>
            <w:tcW w:w="26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2,986,755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Investment in</w:t>
            </w: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subsidiaries and</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VIE and VIE's</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subsidiaries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3,101,038</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69,201</w:t>
            </w:r>
          </w:p>
        </w:tc>
        <w:tc>
          <w:tcPr>
            <w:tcW w:w="22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3,244,525</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(6,414,764)</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Intercompany</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228,195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(73,550)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(234,342)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80,057</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1,614,799</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22,986</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1,720,348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3,183,539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368,095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69,315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5,004,024</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3,199,684</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(6,414,764)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5,409,893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payables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25,935</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658,447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54,266</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272,959</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1,170,278</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97,653</w:t>
            </w:r>
          </w:p>
        </w:tc>
        <w:tc>
          <w:tcPr>
            <w:tcW w:w="2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1,595,245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54,266</w:t>
            </w: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298,894</w:t>
            </w: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1,828,725</w:t>
            </w:r>
          </w:p>
        </w:tc>
        <w:tc>
          <w:tcPr>
            <w:tcW w:w="2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100,305</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2,282,279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3,129,273</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69,201</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69,226</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3,175,299</w:t>
            </w:r>
          </w:p>
        </w:tc>
        <w:tc>
          <w:tcPr>
            <w:tcW w:w="26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3,099,379</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(6,414,764)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3,127,614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-830580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-830580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-830580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-830580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-830580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-830580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-282575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-282575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-282575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-282575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-282575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-282575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234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Intercompany balances resulted from regular transactions in the business operations of the entities, and no service fees were charged by Shanghai Kunjia.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gridSpan w:val="2"/>
            <w:vMerge w:val="restart"/>
          </w:tcPr>
          <w:p>
            <w:pPr>
              <w:spacing w:after="0"/>
              <w:rPr>
                <w:sz w:val="12"/>
                <w:szCs w:val="12"/>
                <w:color w:val="auto"/>
              </w:rPr>
            </w:pPr>
          </w:p>
        </w:tc>
        <w:tc>
          <w:tcPr>
            <w:tcW w:w="12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10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1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00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10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gridSpan w:val="2"/>
          </w:tcPr>
          <w:p>
            <w:pPr>
              <w:spacing w:after="0"/>
              <w:rPr>
                <w:sz w:val="15"/>
                <w:szCs w:val="15"/>
                <w:color w:val="auto"/>
              </w:rPr>
            </w:pPr>
          </w:p>
        </w:tc>
        <w:tc>
          <w:tcPr>
            <w:tcW w:w="10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8"/>
              </w:rPr>
              <w:t>(RMB in thousands)</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1,270,970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6,175,655</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(1,224,662)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6,222,190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costs and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(27,869)</w:t>
            </w: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(1,207,480)</w:t>
            </w:r>
          </w:p>
        </w:tc>
        <w:tc>
          <w:tcPr>
            <w:tcW w:w="80" w:type="dxa"/>
            <w:vAlign w:val="bottom"/>
          </w:tcPr>
          <w:p>
            <w:pPr>
              <w:spacing w:after="0"/>
              <w:rPr>
                <w:sz w:val="18"/>
                <w:szCs w:val="18"/>
                <w:color w:val="auto"/>
              </w:rPr>
            </w:pP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(4,411,180)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1,224,662</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(4,424,861)</w:t>
            </w:r>
          </w:p>
        </w:tc>
        <w:tc>
          <w:tcPr>
            <w:tcW w:w="0" w:type="dxa"/>
            <w:vAlign w:val="bottom"/>
          </w:tcPr>
          <w:p>
            <w:pPr>
              <w:spacing w:after="0"/>
              <w:rPr>
                <w:sz w:val="1"/>
                <w:szCs w:val="1"/>
                <w:color w:val="auto"/>
              </w:rPr>
            </w:pPr>
          </w:p>
        </w:tc>
      </w:tr>
      <w:tr>
        <w:trPr>
          <w:trHeight w:val="205"/>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(Loss)/Income from operations</w:t>
            </w:r>
          </w:p>
        </w:tc>
        <w:tc>
          <w:tcPr>
            <w:tcW w:w="12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(27,869)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63,490</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1,764,475</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(2,767)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1,797,329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40" w:type="dxa"/>
            <w:vAlign w:val="bottom"/>
            <w:tcBorders>
              <w:top w:val="single" w:sz="8" w:color="CFF0FC"/>
            </w:tcBorders>
            <w:gridSpan w:val="2"/>
          </w:tcPr>
          <w:p>
            <w:pPr>
              <w:spacing w:after="0" w:line="182" w:lineRule="exact"/>
              <w:rPr>
                <w:sz w:val="20"/>
                <w:szCs w:val="20"/>
                <w:color w:val="auto"/>
              </w:rPr>
            </w:pPr>
            <w:r>
              <w:rPr>
                <w:rFonts w:ascii="Times New Roman" w:cs="Times New Roman" w:eastAsia="Times New Roman" w:hAnsi="Times New Roman"/>
                <w:sz w:val="16"/>
                <w:szCs w:val="16"/>
                <w:color w:val="auto"/>
              </w:rPr>
              <w:t>Equity in earnings of subsidiaries</w:t>
            </w: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VIE and VIE's subsidiaries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1,562,484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53,777</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1,604,131</w:t>
            </w:r>
          </w:p>
        </w:tc>
        <w:tc>
          <w:tcPr>
            <w:tcW w:w="1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(3,220,392)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1,535,742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53,777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53,777</w:t>
            </w:r>
          </w:p>
        </w:tc>
        <w:tc>
          <w:tcPr>
            <w:tcW w:w="14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1,550,354</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1,692,673</w:t>
            </w:r>
          </w:p>
        </w:tc>
        <w:tc>
          <w:tcPr>
            <w:tcW w:w="14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(3,350,590)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1,535,733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20" w:type="dxa"/>
            <w:vAlign w:val="bottom"/>
            <w:vMerge w:val="restart"/>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gridSpan w:val="2"/>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00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(RMB in thousands)</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280" w:type="dxa"/>
            <w:vAlign w:val="bottom"/>
            <w:gridSpan w:val="4"/>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1,621,778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5,827,136</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39,696</w:t>
            </w:r>
          </w:p>
        </w:tc>
        <w:tc>
          <w:tcPr>
            <w:tcW w:w="140" w:type="dxa"/>
            <w:vAlign w:val="bottom"/>
            <w:shd w:val="clear" w:color="auto" w:fill="CFF0FC"/>
          </w:tcPr>
          <w:p>
            <w:pPr>
              <w:spacing w:after="0"/>
              <w:rPr>
                <w:sz w:val="17"/>
                <w:szCs w:val="17"/>
                <w:color w:val="auto"/>
              </w:rPr>
            </w:pPr>
          </w:p>
        </w:tc>
        <w:tc>
          <w:tcPr>
            <w:tcW w:w="1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(1,687,578)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5,801,032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costs and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(1,608,346)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(4,588,087)</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(40,400)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1,687,578</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(4,553,017)</w:t>
            </w:r>
          </w:p>
        </w:tc>
        <w:tc>
          <w:tcPr>
            <w:tcW w:w="0" w:type="dxa"/>
            <w:vAlign w:val="bottom"/>
          </w:tcPr>
          <w:p>
            <w:pPr>
              <w:spacing w:after="0"/>
              <w:rPr>
                <w:sz w:val="1"/>
                <w:szCs w:val="1"/>
                <w:color w:val="auto"/>
              </w:rPr>
            </w:pPr>
          </w:p>
        </w:tc>
      </w:tr>
      <w:tr>
        <w:trPr>
          <w:trHeight w:val="205"/>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(Loss)/Income from operations</w:t>
            </w: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(3,736)</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13,432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1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1,239,049</w:t>
            </w:r>
          </w:p>
        </w:tc>
        <w:tc>
          <w:tcPr>
            <w:tcW w:w="220" w:type="dxa"/>
            <w:vAlign w:val="bottom"/>
            <w:tcBorders>
              <w:right w:val="single" w:sz="8" w:color="CFF0FC"/>
            </w:tcBorders>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(704)</w:t>
            </w: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1,248,015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6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Equity in earnings of subsidiaries</w:t>
            </w: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VIE and VIE's subsidiaries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22,309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1,095,954</w:t>
            </w:r>
          </w:p>
        </w:tc>
        <w:tc>
          <w:tcPr>
            <w:tcW w:w="14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(2,178,482)</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1,056,478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22,309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22,302</w:t>
            </w:r>
          </w:p>
        </w:tc>
        <w:tc>
          <w:tcPr>
            <w:tcW w:w="14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1,073,652</w:t>
            </w:r>
          </w:p>
        </w:tc>
        <w:tc>
          <w:tcPr>
            <w:tcW w:w="220" w:type="dxa"/>
            <w:vAlign w:val="bottom"/>
            <w:tcBorders>
              <w:right w:val="single" w:sz="8" w:color="CFF0FC"/>
            </w:tcBorders>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1,229,209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(2,347,482)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1,056,468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-2082165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-2082165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-2082165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-2082165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-2082165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-2082165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-1687830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-1687830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-1687830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-1687830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-1687830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-1687830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-401955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-401955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-401955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-401955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-401955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-401955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-8255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operating costs and expenses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(Loss)/Income from operations</w:t>
      </w:r>
    </w:p>
    <w:p>
      <w:pPr>
        <w:spacing w:after="0" w:line="24" w:lineRule="exact"/>
        <w:rPr>
          <w:sz w:val="20"/>
          <w:szCs w:val="20"/>
          <w:color w:val="auto"/>
        </w:rPr>
      </w:pPr>
    </w:p>
    <w:p>
      <w:pPr>
        <w:jc w:val="right"/>
        <w:ind w:right="220"/>
        <w:spacing w:after="0" w:line="269" w:lineRule="auto"/>
        <w:rPr>
          <w:sz w:val="20"/>
          <w:szCs w:val="20"/>
          <w:color w:val="auto"/>
        </w:rPr>
      </w:pPr>
      <w:r>
        <w:rPr>
          <w:rFonts w:ascii="Times New Roman" w:cs="Times New Roman" w:eastAsia="Times New Roman" w:hAnsi="Times New Roman"/>
          <w:sz w:val="16"/>
          <w:szCs w:val="16"/>
          <w:color w:val="auto"/>
        </w:rPr>
        <w:t>Equity in earnings of subsidiaries and VIE and VIE's subsidiaries</w:t>
      </w:r>
    </w:p>
    <w:p>
      <w:pPr>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19" w:lineRule="exact"/>
        <w:rPr>
          <w:sz w:val="20"/>
          <w:szCs w:val="20"/>
          <w:color w:val="auto"/>
        </w:rPr>
      </w:pPr>
    </w:p>
    <w:p>
      <w:pPr>
        <w:ind w:left="120" w:right="400" w:hanging="120"/>
        <w:spacing w:after="0" w:line="264" w:lineRule="auto"/>
        <w:rPr>
          <w:sz w:val="20"/>
          <w:szCs w:val="20"/>
          <w:color w:val="auto"/>
        </w:rPr>
      </w:pPr>
      <w:r>
        <w:rPr>
          <w:rFonts w:ascii="Times New Roman" w:cs="Times New Roman" w:eastAsia="Times New Roman" w:hAnsi="Times New Roman"/>
          <w:sz w:val="16"/>
          <w:szCs w:val="16"/>
          <w:color w:val="auto"/>
        </w:rPr>
        <w:t>Net cash (used in) provided by investing activities</w:t>
      </w:r>
    </w:p>
    <w:p>
      <w:pPr>
        <w:ind w:left="120" w:right="400" w:hanging="120"/>
        <w:spacing w:after="0" w:line="288" w:lineRule="auto"/>
        <w:rPr>
          <w:sz w:val="20"/>
          <w:szCs w:val="20"/>
          <w:color w:val="auto"/>
        </w:rPr>
      </w:pPr>
      <w:r>
        <w:rPr>
          <w:rFonts w:ascii="Times New Roman" w:cs="Times New Roman" w:eastAsia="Times New Roman" w:hAnsi="Times New Roman"/>
          <w:sz w:val="16"/>
          <w:szCs w:val="16"/>
          <w:color w:val="auto"/>
        </w:rPr>
        <w:t>Net cash (used in)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19" w:lineRule="exact"/>
        <w:rPr>
          <w:sz w:val="20"/>
          <w:szCs w:val="20"/>
          <w:color w:val="auto"/>
        </w:rPr>
      </w:pPr>
    </w:p>
    <w:p>
      <w:pPr>
        <w:ind w:left="120" w:right="400" w:hanging="120"/>
        <w:spacing w:after="0" w:line="264" w:lineRule="auto"/>
        <w:rPr>
          <w:sz w:val="20"/>
          <w:szCs w:val="20"/>
          <w:color w:val="auto"/>
        </w:rPr>
      </w:pPr>
      <w:r>
        <w:rPr>
          <w:rFonts w:ascii="Times New Roman" w:cs="Times New Roman" w:eastAsia="Times New Roman" w:hAnsi="Times New Roman"/>
          <w:sz w:val="16"/>
          <w:szCs w:val="16"/>
          <w:color w:val="auto"/>
        </w:rPr>
        <w:t>Net cash (used in) provided by investing activities</w:t>
      </w:r>
    </w:p>
    <w:p>
      <w:pPr>
        <w:ind w:left="120" w:right="400" w:hanging="120"/>
        <w:spacing w:after="0" w:line="288" w:lineRule="auto"/>
        <w:rPr>
          <w:sz w:val="20"/>
          <w:szCs w:val="20"/>
          <w:color w:val="auto"/>
        </w:rPr>
      </w:pPr>
      <w:r>
        <w:rPr>
          <w:rFonts w:ascii="Times New Roman" w:cs="Times New Roman" w:eastAsia="Times New Roman" w:hAnsi="Times New Roman"/>
          <w:sz w:val="16"/>
          <w:szCs w:val="16"/>
          <w:color w:val="auto"/>
        </w:rPr>
        <w:t>Net cash (used in) provided by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19" w:lineRule="exact"/>
        <w:rPr>
          <w:sz w:val="20"/>
          <w:szCs w:val="20"/>
          <w:color w:val="auto"/>
        </w:rPr>
      </w:pPr>
    </w:p>
    <w:p>
      <w:pPr>
        <w:ind w:left="120" w:right="400" w:hanging="120"/>
        <w:spacing w:after="0" w:line="264" w:lineRule="auto"/>
        <w:rPr>
          <w:sz w:val="20"/>
          <w:szCs w:val="20"/>
          <w:color w:val="auto"/>
        </w:rPr>
      </w:pPr>
      <w:r>
        <w:rPr>
          <w:rFonts w:ascii="Times New Roman" w:cs="Times New Roman" w:eastAsia="Times New Roman" w:hAnsi="Times New Roman"/>
          <w:sz w:val="16"/>
          <w:szCs w:val="16"/>
          <w:color w:val="auto"/>
        </w:rPr>
        <w:t>Net cash (used in) provided by investing activities</w:t>
      </w:r>
    </w:p>
    <w:p>
      <w:pPr>
        <w:ind w:left="120" w:right="400" w:hanging="120"/>
        <w:spacing w:after="0" w:line="288" w:lineRule="auto"/>
        <w:rPr>
          <w:sz w:val="20"/>
          <w:szCs w:val="20"/>
          <w:color w:val="auto"/>
        </w:rPr>
      </w:pPr>
      <w:r>
        <w:rPr>
          <w:rFonts w:ascii="Times New Roman" w:cs="Times New Roman" w:eastAsia="Times New Roman" w:hAnsi="Times New Roman"/>
          <w:sz w:val="16"/>
          <w:szCs w:val="16"/>
          <w:color w:val="auto"/>
        </w:rPr>
        <w:t>Net cash (used in) provided by financing activities</w:t>
      </w:r>
    </w:p>
    <w:p>
      <w:pPr>
        <w:spacing w:after="0" w:line="20" w:lineRule="exact"/>
        <w:rPr>
          <w:sz w:val="20"/>
          <w:szCs w:val="20"/>
          <w:color w:val="auto"/>
        </w:rPr>
      </w:pPr>
      <w:r>
        <w:rPr>
          <w:sz w:val="20"/>
          <w:szCs w:val="20"/>
          <w:color w:val="auto"/>
        </w:rPr>
        <w:br w:type="column"/>
      </w:r>
    </w:p>
    <w:p>
      <w:pPr>
        <w:ind w:left="28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1220" w:type="dxa"/>
            <w:vAlign w:val="bottom"/>
            <w:tcBorders>
              <w:top w:val="single" w:sz="8" w:color="auto"/>
            </w:tcBorders>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1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gridSpan w:val="4"/>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80" w:type="dxa"/>
            <w:vAlign w:val="bottom"/>
          </w:tcPr>
          <w:p>
            <w:pPr>
              <w:spacing w:after="0"/>
              <w:rPr>
                <w:sz w:val="12"/>
                <w:szCs w:val="12"/>
                <w:color w:val="auto"/>
              </w:rPr>
            </w:pPr>
          </w:p>
        </w:tc>
        <w:tc>
          <w:tcPr>
            <w:tcW w:w="1080" w:type="dxa"/>
            <w:vAlign w:val="bottom"/>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Kunjia</w:t>
            </w:r>
          </w:p>
        </w:tc>
        <w:tc>
          <w:tcPr>
            <w:tcW w:w="10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1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60" w:type="dxa"/>
            <w:vAlign w:val="bottom"/>
            <w:gridSpan w:val="2"/>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(WFOE)</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80" w:type="dxa"/>
            <w:vAlign w:val="bottom"/>
            <w:gridSpan w:val="2"/>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80" w:type="dxa"/>
            <w:vAlign w:val="bottom"/>
            <w:gridSpan w:val="2"/>
          </w:tcPr>
          <w:p>
            <w:pPr>
              <w:jc w:val="right"/>
              <w:ind w:right="2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1,670,688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148"/>
              <w:spacing w:after="0" w:line="182"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4,720,863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96,483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(1,021,161)</w:t>
            </w:r>
          </w:p>
        </w:tc>
        <w:tc>
          <w:tcPr>
            <w:tcW w:w="2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5,466,873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(4,546)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(1,614,045)</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7"/>
                <w:szCs w:val="17"/>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(3,444,526)</w:t>
            </w:r>
          </w:p>
        </w:tc>
        <w:tc>
          <w:tcPr>
            <w:tcW w:w="14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(92,402)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1,021,161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(4,134,403)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(4,546)</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56,643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1,276,337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1,332,470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1,720,465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328,844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1,469,714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(3,519,023)</w:t>
            </w:r>
          </w:p>
        </w:tc>
        <w:tc>
          <w:tcPr>
            <w:tcW w:w="20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1,297,619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328,844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328,866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1,140,848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1,720,422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(3,519,023)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1,297,576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80" w:type="dxa"/>
            <w:vAlign w:val="bottom"/>
          </w:tcPr>
          <w:p>
            <w:pPr>
              <w:spacing w:after="0"/>
              <w:rPr>
                <w:sz w:val="12"/>
                <w:szCs w:val="12"/>
                <w:color w:val="auto"/>
              </w:rPr>
            </w:pPr>
          </w:p>
        </w:tc>
        <w:tc>
          <w:tcPr>
            <w:tcW w:w="108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(RMB in thousands)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101,442</w:t>
            </w:r>
          </w:p>
        </w:tc>
        <w:tc>
          <w:tcPr>
            <w:tcW w:w="2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24"/>
                <w:szCs w:val="24"/>
                <w:color w:val="auto"/>
              </w:rPr>
            </w:pPr>
          </w:p>
        </w:tc>
        <w:tc>
          <w:tcPr>
            <w:tcW w:w="10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1,244,155</w:t>
            </w:r>
          </w:p>
        </w:tc>
        <w:tc>
          <w:tcPr>
            <w:tcW w:w="140" w:type="dxa"/>
            <w:vAlign w:val="bottom"/>
          </w:tcPr>
          <w:p>
            <w:pPr>
              <w:spacing w:after="0"/>
              <w:rPr>
                <w:sz w:val="24"/>
                <w:szCs w:val="24"/>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(5,424)</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(81,317)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1,257,354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24"/>
                <w:szCs w:val="24"/>
                <w:color w:val="auto"/>
              </w:rPr>
            </w:pPr>
          </w:p>
        </w:tc>
        <w:tc>
          <w:tcPr>
            <w:tcW w:w="108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(1,917,961)</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(20,167)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(7,923)</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(1,946,206)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(97,850)</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1,040</w:t>
            </w:r>
          </w:p>
        </w:tc>
        <w:tc>
          <w:tcPr>
            <w:tcW w:w="12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470,000</w:t>
            </w:r>
          </w:p>
        </w:tc>
        <w:tc>
          <w:tcPr>
            <w:tcW w:w="1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24,742</w:t>
            </w: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89,240</w:t>
            </w: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487,172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80" w:type="dxa"/>
            <w:vAlign w:val="bottom"/>
          </w:tcPr>
          <w:p>
            <w:pPr>
              <w:spacing w:after="0"/>
              <w:rPr>
                <w:sz w:val="12"/>
                <w:szCs w:val="12"/>
                <w:color w:val="auto"/>
              </w:rPr>
            </w:pPr>
          </w:p>
        </w:tc>
        <w:tc>
          <w:tcPr>
            <w:tcW w:w="108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(RMB in thousands)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144,310</w:t>
            </w:r>
          </w:p>
        </w:tc>
        <w:tc>
          <w:tcPr>
            <w:tcW w:w="2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139,602</w:t>
            </w:r>
          </w:p>
        </w:tc>
        <w:tc>
          <w:tcPr>
            <w:tcW w:w="16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327,764</w:t>
            </w:r>
          </w:p>
        </w:tc>
        <w:tc>
          <w:tcPr>
            <w:tcW w:w="140" w:type="dxa"/>
            <w:vAlign w:val="bottom"/>
          </w:tcPr>
          <w:p>
            <w:pPr>
              <w:spacing w:after="0"/>
              <w:rPr>
                <w:sz w:val="24"/>
                <w:szCs w:val="24"/>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(64,707)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(157,672)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389,588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(74,100)</w:t>
            </w:r>
          </w:p>
        </w:tc>
        <w:tc>
          <w:tcPr>
            <w:tcW w:w="116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(38,081)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(49,526)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223,695</w:t>
            </w:r>
          </w:p>
        </w:tc>
        <w:tc>
          <w:tcPr>
            <w:tcW w:w="2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(167,838)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(105,850)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(155,400)</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38,081</w:t>
            </w:r>
          </w:p>
        </w:tc>
        <w:tc>
          <w:tcPr>
            <w:tcW w:w="120" w:type="dxa"/>
            <w:vAlign w:val="bottom"/>
          </w:tcPr>
          <w:p>
            <w:pPr>
              <w:spacing w:after="0"/>
              <w:rPr>
                <w:sz w:val="24"/>
                <w:szCs w:val="24"/>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(244,000)</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(157,672)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325,510</w:t>
            </w:r>
          </w:p>
        </w:tc>
        <w:tc>
          <w:tcPr>
            <w:tcW w:w="2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(193,481)</w:t>
            </w:r>
          </w:p>
        </w:tc>
        <w:tc>
          <w:tcPr>
            <w:tcW w:w="0" w:type="dxa"/>
            <w:vAlign w:val="bottom"/>
          </w:tcPr>
          <w:p>
            <w:pPr>
              <w:spacing w:after="0"/>
              <w:rPr>
                <w:sz w:val="1"/>
                <w:szCs w:val="1"/>
                <w:color w:val="auto"/>
              </w:rPr>
            </w:pPr>
          </w:p>
        </w:tc>
      </w:tr>
      <w:tr>
        <w:trPr>
          <w:trHeight w:val="276"/>
        </w:trPr>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2"/>
                <w:szCs w:val="12"/>
                <w:color w:val="auto"/>
              </w:rPr>
            </w:pPr>
          </w:p>
        </w:tc>
        <w:tc>
          <w:tcPr>
            <w:tcW w:w="1080" w:type="dxa"/>
            <w:vAlign w:val="bottom"/>
            <w:gridSpan w:val="3"/>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Shanghai</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inside</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vMerge w:val="restart"/>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VIE and its</w:t>
            </w:r>
          </w:p>
        </w:tc>
        <w:tc>
          <w:tcPr>
            <w:tcW w:w="80" w:type="dxa"/>
            <w:vAlign w:val="bottom"/>
          </w:tcPr>
          <w:p>
            <w:pPr>
              <w:spacing w:after="0"/>
              <w:rPr>
                <w:sz w:val="12"/>
                <w:szCs w:val="12"/>
                <w:color w:val="auto"/>
              </w:rPr>
            </w:pPr>
          </w:p>
        </w:tc>
        <w:tc>
          <w:tcPr>
            <w:tcW w:w="1080" w:type="dxa"/>
            <w:vAlign w:val="bottom"/>
            <w:gridSpan w:val="3"/>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Kunjia</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Chinese</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Mainland</w:t>
            </w:r>
          </w:p>
        </w:tc>
        <w:tc>
          <w:tcPr>
            <w:tcW w:w="220" w:type="dxa"/>
            <w:vAlign w:val="bottom"/>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(RMB in thousands)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144,310</w:t>
            </w:r>
          </w:p>
        </w:tc>
        <w:tc>
          <w:tcPr>
            <w:tcW w:w="2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139,602</w:t>
            </w:r>
          </w:p>
        </w:tc>
        <w:tc>
          <w:tcPr>
            <w:tcW w:w="16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327,764</w:t>
            </w:r>
          </w:p>
        </w:tc>
        <w:tc>
          <w:tcPr>
            <w:tcW w:w="140" w:type="dxa"/>
            <w:vAlign w:val="bottom"/>
          </w:tcPr>
          <w:p>
            <w:pPr>
              <w:spacing w:after="0"/>
              <w:rPr>
                <w:sz w:val="24"/>
                <w:szCs w:val="24"/>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(64,707)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(157,672)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389,588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(74,100)</w:t>
            </w:r>
          </w:p>
        </w:tc>
        <w:tc>
          <w:tcPr>
            <w:tcW w:w="1160" w:type="dxa"/>
            <w:vAlign w:val="bottom"/>
            <w:gridSpan w:val="4"/>
          </w:tcPr>
          <w:p>
            <w:pPr>
              <w:jc w:val="right"/>
              <w:ind w:right="8"/>
              <w:spacing w:after="0"/>
              <w:rPr>
                <w:sz w:val="20"/>
                <w:szCs w:val="20"/>
                <w:color w:val="auto"/>
              </w:rPr>
            </w:pPr>
            <w:r>
              <w:rPr>
                <w:rFonts w:ascii="Times New Roman" w:cs="Times New Roman" w:eastAsia="Times New Roman" w:hAnsi="Times New Roman"/>
                <w:sz w:val="16"/>
                <w:szCs w:val="16"/>
                <w:color w:val="auto"/>
              </w:rPr>
              <w:t>(38,081)</w:t>
            </w: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(49,526)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223,695</w:t>
            </w:r>
          </w:p>
        </w:tc>
        <w:tc>
          <w:tcPr>
            <w:tcW w:w="2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(167,838)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(105,850)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(155,400)</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38,081</w:t>
            </w:r>
          </w:p>
        </w:tc>
        <w:tc>
          <w:tcPr>
            <w:tcW w:w="120" w:type="dxa"/>
            <w:vAlign w:val="bottom"/>
          </w:tcPr>
          <w:p>
            <w:pPr>
              <w:spacing w:after="0"/>
              <w:rPr>
                <w:sz w:val="24"/>
                <w:szCs w:val="24"/>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(244,000)</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(157,672)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325,510</w:t>
            </w:r>
          </w:p>
        </w:tc>
        <w:tc>
          <w:tcPr>
            <w:tcW w:w="2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-5464810</wp:posOffset>
            </wp:positionV>
            <wp:extent cx="71323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-5207635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-4813300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-3836035</wp:posOffset>
            </wp:positionV>
            <wp:extent cx="713232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-3321685</wp:posOffset>
            </wp:positionV>
            <wp:extent cx="7132320"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-2301240</wp:posOffset>
            </wp:positionV>
            <wp:extent cx="7132320"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-1786890</wp:posOffset>
            </wp:positionV>
            <wp:extent cx="7132320"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-767080</wp:posOffset>
            </wp:positionV>
            <wp:extent cx="713232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-252730</wp:posOffset>
            </wp:positionV>
            <wp:extent cx="7132320"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2400" w:space="720"/>
            <w:col w:w="8120"/>
          </w:cols>
          <w:pgMar w:left="320" w:top="1249"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Approvals Required from the PRC Authorities for Offering Securities to Foreign Investors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required to complete filing or fulfill other requirements of the China Securities Regulatory Commission, or the CSRC within three business days after the closing of our future offerings, according to the Trial Administrative Measures (as defined below). We do not believe we are required to obtain any approvals from the CAC or other PRC government authorities under PRC law in connection with a future offering of our securities to foreign investors.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7" w:name="page18"/>
    <w:bookmarkEnd w:id="17"/>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Required from the China Securities Regulatory Commission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of Overseas Securities Offering and Listing by Domestic Enterprises, or the Trial Administrative Measures, and five supporting guidelines, which became effective on March 31, 2023. According to the Trial Administrative Measures, we are required to complete the filing procedures with the CSRC for any future follow-on offerings within three business days after the closing of the offering.</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24, 2023, the CSRC and other relevant government authorities published the Provisions on Strengthening Confidentiality and Archives Management of Overseas Securities Offering and Listing by Domestic Enterprises, or the Provisions on Confidentiality and Archives Management, which became effective on March 31, 2023. According to the Provisions on Confidentiality and Archives Management, PRC domestic enterprises that seek to offer and list securities in overseas markets shall establish confidentiality and archives management system. The PRC domestic enterprises shall obtain approval from the competent authority and file with the confidential administration department at the same level when providing or publicly disclosing documents and materials related to state secrets or secrets of the governmental authorities to the underwriters or other agencies or the offshore regulatory authorities, and shall complete corresponding procedures when providing or publicly disclosing documents and materials which may adversely influence national security and the public interest. The PRC domestic enterprises shall provide written statements on the implementation on the aforementioned rules to the underwriter and other agencies. Nevertheless, the Provisions on Confidentiality and Archives Management do not provide a clear scope of materials that, if divulged, will jeopardize national security or public interest, and the PRC government authorities may have certain discretion in the interpretation and enforcement of the applicable laws. Given the uncertainties surrounding the interpretation of the Provisions on Confidentiality and Archives Management, we cannot assure you that we will not be required to obtain any approval from or complete filing procedures with the competent authorities for our future offerings.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advised by our PRC legal counsel, King &amp; Wood, the Trial Administrative Measures and the Provisions on Confidentiality and Archives Management may subject us to additional compliance requirement in the future for a future securities offering, including completion of filing procedures and obtaining required approval. We cannot assure you that we will be able to get the clearance of filing procedures or obtain the required approval on a timely basis, or at all. Any failure of us to fully comply with new regulatory requirements may significantly limit or completely hinder our ability to offer or continue to offer our securities, cause significant disruption to our business operations, and severely damage our reputation, which would materially and adversely affect our financial condition and results of operations and cause our ADSs to significantly decline in value or become worthless, see “Item 3. Key Information—D. Risk Factors—Risks Relating to Our Corporate Structure—The approval, filing or other requirements of the CSRC, the CAC or other PRC government authorities may be required under PRC law in connection with a future offering of our securities to foreign investors.”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from the Cyberspace Administration of China or Other PRC Government Authorities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respect to the Cyberspace Administration of China, or the CAC, as advised by our PRC legal counsel, we believe that there is a relatively low likelihood that we and the consolidated VIE will be subject to the cybersecurity review by the CAC for a future offering of our securities to foreign investors, given that: (i) neither we nor the consolidated VIE has been recognized as critical information infrastructure operators. The aforementioned critical information infrastructure refers to important network infrastructure and information system in public telecommunications, information services, energy sources, transportation and other critical industries and domains, in which any destruction or data leakage will have severe impact on national security, the nation’s welfare, people’s living and public interests; (ii) data processed in our and the consolidated VIE’s business do not have impact or potential impact on national security; and (iii) it is still uncertain whether the Cybersecurity Review Measures (as defined below) will be applicable to a future offering conducted by China-based companies listed overseas. For further discussion on the risks relating to the oversight of the CAC, see “Item 3. Key Information—D. Risk Factors—Risks Relating to Our Corporate Structure—It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advised by our PRC legal counsel, we believe that approvals or permissions from the CSRC are not required for the operations of the consolidated VIE and our other subsidiaries, and that there is a relatively low likelihood that the operations of the consolidated VIE and our other subsidiaries will be subject to the cybersecurity review by the CAC, given that: (i) neither the consolidated VIE nor any of our other subsidiaries has been recognized as critical information infrastructure operators; and (ii) data processed in the consolidated VIE and our other subsidiaries’ business do not have impact or potential impact on national security. Furthermore, our and the VIE Group’s online platform, operated by Geerong Yunke Information Technology Co., Ltd. (“Geerong Yunke”) and Shanghai Yixin Internet Technology Co., Ltd.(“Shanghai Yixin”) may be deemed to be providing commercial Internet information services, which would require the aforementioned companies to obtain certain value-added telecommunications business license. We cannot assure you</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that we can obtain these licenses in a timely manner, or at all. Any failure to obtain the relevant approvals or licenses may subject us to sanctions, including rectification orders and warnings, fines, confiscation of illegal gains, and, in case of significant infringement, orders to close our online platform, which may have a material adverse effect on our business, financial condition or results of operations. For further discussion on the risks relating to the regulatory oversight of the online platform, see “Item 3. Key Information—D. Risk Factors—Risks Relating to Doing Business in China—We and the VIE Group may be adversely affected by the complexity and changes in PRC regulation of Internet-related businesses and companies, and any lack of requisite approvals, licenses or permits applicable to our and the VIE Group’s business may have a material adverse effect on our and the VIE Group’s business and results of operations.”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foregoing, we do not believe we are required to obtain any approvals from the CAC or other PRC government authorities under PRC law in connection with a future offering of our securities to foreign investors as of the date of this annual report.</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inadvertently conclude any prior approval is not required and the CSRC, the CAC or other relevant PRC regulatory agencies subsequently determine that prior approval is required for any of our future offerings of securities overseas or to maintain the listing status of our ADSs, we cannot guarantee that we will be able to obtain such approval in a timely manner, or at all, or to maintain such approval once we receive it. The CSRC, the CAC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these regulatory agencies’ approval to the extent it is required, or if we are unable to comply with any new approval requirements which might be adopted for future offerings, we may face regulatory actions or other sanctions from these regulatory agencies. For example, regulatory agencies may impose fines and penalties on our operations in China, limit our ability to pay dividends outside of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if we are required to obtain any other approvals from or complete filings and/or other regulatory procedures with the CSRC, the CAC or other PRC regulatory agencies as a result of change in applicable laws, regulations or interpretations for any future offering or the listing of the ADSs, we cannot assure you that we can obtain the required approval or complete the required filings and/or other regulatory procedures in a timely manner, or at all. Any failure to obtain such approval or complete such filings and/or other regulatory procedures may subject us to regulatory actions or other sanctions taken by the relevant government authorities, which may have a material adverse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Consolidated VIE and China Operations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Investing in the ADSs involves a high degree of risk. You should carefully consider the risks described under “Item 3. Key Information—D. Risk Factors” and other information contained in this annual report on Form 20-F, before you decide whether to purchase the ADSs. In particular, we are subject to risks and uncertainties relating to our corporate structure and doing business in China, including, but not limited to, the following:</w:t>
      </w:r>
    </w:p>
    <w:p>
      <w:pPr>
        <w:spacing w:after="0" w:line="176" w:lineRule="exact"/>
        <w:rPr>
          <w:sz w:val="20"/>
          <w:szCs w:val="20"/>
          <w:color w:val="auto"/>
        </w:rPr>
      </w:pPr>
    </w:p>
    <w:p>
      <w:pPr>
        <w:jc w:val="both"/>
        <w:ind w:left="1020" w:hanging="503"/>
        <w:spacing w:after="0" w:line="25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Group Inc. is a Cayman Islands holding company primarily operating in China through its subsidiaries and contractual arrangements with Jiayin Technology. Investors in the ADSs thus are not purchasing, and may never hold, equity interests in the consolidated VIE. The interpretation and application of current and future PRC laws, regulations, and rules relating to such agreements that establish the VIE structure for the majority of our and the consolidated VIE’s operations in China, including potential future actions by the PRC government remains to be observed, which could affect the enforceability of our contractual arrangements with Jiayin Technology and, consequently, significantly affect the financial condition and results of operations of Jiayin Group Inc. If the PRC government finds such agreements non-compliant with relevant PRC laws, regulations, and rules, or if these laws, regulations, and rules or the interpretation thereof change in the future, we could be subject to severe penalties or be forced to relinquish our beneficial interest in Jiayin Technology or forfeit our rights under the contractual arrangements;</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authority to exert influence on the China operations of an offshore holding company, such as us. Changes in China’s economic, political or social conditions, or government policies may cause our and the consolidated VIE’s underlying operations in China to become prohibitive, which could materially and adversely affect our and the consolidated VIE’s business, financial condition, and results of operations;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consolidated VIE are subject to extensive and evolving legal development, non-compliance with which, or changes in which, may materially and adversely affect our and the consolidated VIE’s business and prospects, and may result in a material change in our and the consolidated VIE’s operations and/or the value of our ADSs or could significantly limit or completely hinder our and the consolidated VIE’s ability to offer or continue to offer securities to investors and cause the value of our securities to significantly decline or be worthless;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jc w:val="both"/>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over our and the consolidated VIE’s business operations could result in a material adverse change in our and the consolidated VIE’s operations and the value of our ADSs;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requirements of the CSRC, the CAC or other PRC government authorities may be required under PRC law in connection with our future offering;</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implementation of the Foreign Investment Law of the PRC may impact the viability of our current corporate structure, corporate governance and business operations;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deems that the Contractual Arrangements in relation to Jiayin Technology do not comply with PRC regulatory restrictions on foreign investment in the relevant industries, or if these regulations or the interpretation of existing regulations change in the future, we could be subject to severe penalties or be forced to relinquish our beneficial interest in those operations;</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Jiayin Technology and shareholders of Jiayin Technology for certain business operations, which may not be as effective as direct ownership in providing operational control, and these contractual arrangements have not been tested in a court of law;</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Jiayin Technology or shareholders of Jiayin Technology to perform their obligations under our Contractual Arrangements with them would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consolidated VIE may have potential conflicts of interest with us, which may materially and adversely affect our business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in relation to the consolidated VIE may be subject to scrutiny by the PRC tax authorities and they may determine that we or consolidated VIE owe additional taxes, which could negatively affect our financial condition and the value of your investment;</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ability to use and enjoy assets held by the VIE Group that are material to the operation of our business if the entities within the VIE Group declare bankruptcy or become subject to a dissolution or liquidation proceeding;</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and the VIE Group’s business and results of operations;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global economy could reduce the demand for consumer loans and investments, which could materially and adversely affect our and the VIE Group’s business and financial condition;</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PRC laws and regulations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may be adversely affected by the complexity and changes in PRC regulation of Internet-related businesses and companies, and any lack of requisite approvals, licenses or permits applicable to our and the VIE Group’s business may have a material adverse effect on our and the VIE Group’s business and results of operations;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primarily rely on dividends and other distributions on equity paid by our PRC subsidiaries to fund the cash and financing requirements we may have, and any limitation on the ability of our PRC subsidiaries to make payments to us could have a material adverse effect on our ability to conduct our business;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have a material adverse effect on our results of operations and the price of our ADSs;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administration of conversion and remittance of foreign currency may limit our ability to transfer cash out of China to fund any cash and financing requirements we may have, and may affect the value of your investment;</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55" w:right="339" w:bottom="1440" w:gutter="0" w:footer="0" w:header="0"/>
        </w:sectPr>
      </w:pPr>
    </w:p>
    <w:bookmarkStart w:id="20" w:name="page21"/>
    <w:bookmarkEnd w:id="20"/>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adequate contributions to various employee benefit plans and withhold individual income tax on employees’ salaries as required by PRC regulations may subject us to penalties;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PRC regulations regarding the registration requirements for employee share incentive plans may subject the PRC plan participants or us to fines and other legal or administrative sanctions;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PRC resident enterprise for PRC income tax purposes, such classification could result in unfavorable tax consequences to us and our non-PRC shareholders or ADS holders;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certain benefits under relevant tax treaty on dividends paid by our PRC subsidiaries to us through our Hong Kong subsidiary;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with respect to indirect transfers of equity interests in PRC resident enterprises by their non-PRC holding companies.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further details on the regulatory, liquidity and enforcement risks relating to our corporate structure and the fact that we conduct substantially all of our operations in China, see “Item 3. Key Information—D. Risk Factors—Risks Relating to Our Corporate Structure” and “Item 3. Key Information— D. Risk Factors—Risks Relating to Doing Business in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PCAOB Inspections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December 16, 2021, the PCAOB issued a report notifying the Commission of its determinations that they are unable to inspect or investigate completely PCAOB-registered public accounting firms headquartered in Chinese Mainland and in Hong Kong. The report sets forth lists identifying the registered public accounting firms headquartered in Chinese Mainland and Hong Kong, respectively, that the PCAOB is unable to inspect or investigate completely. Our and the VIE Group’s financial statements as of December 31, 2022 and for the year ended December 31, 2022 contained in this annual report have been audited by Marcum Asia CPAs LLP, or Marcum Asia, an independent registered public accounting firm that is headquartered in Manhattan, New York, and has been inspected by the PCAOB on a regular basis. As of the date hereof, Marcum Asia is not included in the list of PCAOB identified firms in the PCAOB Determination Report issued on December 16, 2021. On December 15, 2022, the PCAOB announced that it was able to conduct inspections and investigations completely of PCAOB-registered public accounting firms headquartered in Chinese Mainland and Hong Kong in 2022. The PCAOB vacated its previous determinations issued in December 2021 accordingly. On December 18, 2023, we dismissed Marcum Asia and appointed Deloitte Touche Tohmatsu Certified Public Accountants LLP, or Deloitte, which is located in Chinese Mainland, as our independent registered public accounting firm, to issue our audit report for the fiscal years ended December 31, 2023, 2024 and 2025. We do not expect to be identified as a “Commission-Identified Issuer” under the HFCAA for the fiscal year ended December 31, 2025 after we file our annual report on Form 20-F for such fiscal year.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Should the PCAOB again encounter impediments to inspections and investigations in Chinese Mainland or Hong Kong as a result of positions taken by any authority in either jurisdiction, the PCAOB will make determinations under the HFCAA as and when appropriate.</w:t>
      </w:r>
    </w:p>
    <w:p>
      <w:pPr>
        <w:spacing w:after="0" w:line="19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on December 29, 2022, the Consolidated Appropriations Act, 2023 was signed into law, which, among others, amended the HFCAA to reduce the number of consecutive years an issuer can be identified as a Commission-Identified Issuer before the SEC must impose an initial trading prohibition on the issuer’s securities from three years to two. Therefore, once an issuer is identified as a Commission-Identified Issuer for two consecutive years, the SEC is required under the HFCAA to prohibit the trading of the issuer’s securities on a national securities exchange and in the over-the-counter market. For more details, see “Item 3. Key Information—D. Risk Factors—Risks Relating to Our Business and Industry—Trading in our securities may be prohibited under the Holding Foreign Companies Accountable Act or the Accelerating Holding Foreign Companies Accountable Act, if it is later determined that the PCAOB is unable to inspect or investigate completely our auditor, and as a result, U.S. national securities exchanges, such as Nasdaq, may determine to delist our securities.”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None of our directors and executive officers resides in Hong Kong, and their assets are primarily located outside Hong Kong.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(and the Cayman Islands is not a party to any treaties for the reciprocal enforcement or recognition of such judgments), however,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 given by a foreign court of competent jurisdiction, (b) imposes on the judgment debtor a liability to pay a liquidated sum for which the judgment has been given, (c) is final, (d) is not in respect of taxes, a fine or a penalty,</w:t>
      </w:r>
    </w:p>
    <w:p>
      <w:pPr>
        <w:spacing w:after="0" w:line="5" w:lineRule="exact"/>
        <w:rPr>
          <w:sz w:val="20"/>
          <w:szCs w:val="20"/>
          <w:color w:val="auto"/>
        </w:rPr>
      </w:pPr>
    </w:p>
    <w:p>
      <w:pPr>
        <w:jc w:val="both"/>
        <w:ind w:firstLine="8"/>
        <w:spacing w:after="0" w:line="252"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7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ind w:left="520" w:right="8420" w:hanging="512"/>
        <w:spacing w:after="0" w:line="50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520" w:right="7640" w:hanging="512"/>
        <w:spacing w:after="0" w:line="50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508"/>
        <w:spacing w:after="0" w:line="282" w:lineRule="auto"/>
        <w:rPr>
          <w:sz w:val="20"/>
          <w:szCs w:val="20"/>
          <w:color w:val="auto"/>
        </w:rPr>
      </w:pPr>
      <w:r>
        <w:rPr>
          <w:rFonts w:ascii="Times New Roman" w:cs="Times New Roman" w:eastAsia="Times New Roman" w:hAnsi="Times New Roman"/>
          <w:sz w:val="18"/>
          <w:szCs w:val="18"/>
          <w:color w:val="auto"/>
        </w:rPr>
        <w:t>Set forth below is only a summary of the principal risks associated with an investment in our shares. See below under this “Item 3. Key Information —D. Risk Factors” for a detailed discussion of the numerous risks and uncertainties to which our Company and the VIE Group are subject to.</w:t>
      </w:r>
    </w:p>
    <w:p>
      <w:pPr>
        <w:spacing w:after="0" w:line="162" w:lineRule="exact"/>
        <w:rPr>
          <w:sz w:val="20"/>
          <w:szCs w:val="20"/>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operate in China’s online consumer finance marketplace, an evolving industry, which makes it difficult to evaluate our and the VIE Group’s future prospects.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governing online consumer finance industry in China are evolving and subject to changes, which may limit the growth of our and the VIE Group’s business. If we and the VIE Group fail to comply with existing and future applicable laws, regulations or requirements of local regulatory authorities, our and the VIE Group’s business, financial conditions and results of operations would be materially and adversely affected.</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Group Inc. is a Cayman Islands holding company primarily operating in China through its subsidiaries and contractual arrangements with Jiayin Technology. Investors in the ADSs thus are not purchasing, and may never hold, equity interests in the consolidated VIE. The interpretation and application of current and future PRC laws, regulations, and rules relating to such agreements that establish the VIE structure for the majority of our and the consolidated VIE’s operations in China, including potential future actions by the PRC government remains to be observed, which could affect the enforceability of our contractual arrangements with Jiayin Technology and, consequently, significantly affect the financial condition and results of operations of Jiayin Group Inc. If the PRC government finds such agreements non-compliant with relevant PRC laws, regulations, and rules, or if these laws, regulations, and rules or the interpretation thereof change in the future, we could be subject to severe penalties or be forced to relinquish our beneficial interest in Jiayin Technology or forfeit our rights under the contractual arrangements.</w:t>
      </w:r>
    </w:p>
    <w:p>
      <w:pPr>
        <w:spacing w:after="0" w:line="80"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and the VIE Group’s practice is deemed to violate any PRC laws and regulations, our and the VIE Group’s business, financial condition and results of operations would be materially and adversely affected.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 Group’s cooperation with institutional funding partners may expose us to regulatory requirements and we and the VIE Group may be required to obtain additional government approval or license due to our and the VIE Group’s cooperation with institutional funding partners.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conduct businesses in many countries and intend to continue to expand in international markets, we are subject to legal, reputational and operational risks, as well as a broad array of local legal and regulatory requirements that could adversely affect our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the VIE Group are unable to maintain and increase the number of our and the VIE Group’s borrowers or the volume of loans facilitated through our and the VIE Group’s platform, our and the VIE Group’s business and results of operations will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the VIE Group are unable to secure funding from institutional funding partners on terms acceptable to us, or at all, our and the VIE Group’s reputation, results of operations and financial condition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the VIE Group are unable to provide a high-quality user experience, our and the VIE Group’s business and reputation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with respect to us, the online consumer finance industry in general and our third-party partners may materially and adversely affect our business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are subject to credit cycles and the risk of deterioration of credit profiles of borrowers.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ind w:left="503" w:right="2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macro, political and socio-economic factors and regulatory environment in China affecting market conditions can materially and adversely affect our and the VIE Group’s business and operating results.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other information that we and the VIE Group receive from prospective borrowers and third parties about a borrower may be inaccurate or may not accurately reflect the borrower’s creditworthiness, which may compromise the accuracy of our and the VIE Group’s credit assessment.</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58"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rely on our and the VIE Group’s proprietary credit assessment model in assessing the creditworthiness of our and the VIE Group’s borrowers and the risks associated with loans. If our and the VIE Group’s credit assessment model is flawed or ineffective, or if we and the VIE Group otherwise fail or are perceived to fail to manage the default risks of loans facilitated through our and the VIE Group’s platform, our and the VIE Group’s reputation and market share would be materially and adversely affected, which would severely impact our and the VIE Group’s business and results of operations.</w:t>
      </w:r>
    </w:p>
    <w:p>
      <w:pPr>
        <w:spacing w:after="0" w:line="75"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have obligations to verify information relating to borrowers and detecting fraud. If we and the VIE Group fail to perform such obligations to meet the requirements of relevant laws and regulations, we and the VIE Group may be subject to liabilities. Our and the VIE Group’s reputation may be harmed if information supplied by borrowers is inaccurate, misleading or incomplete.</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VIE Group do not impose restrictions on borrowers’ use of loans facilitated by our and the VIE Group’s platform or prohibit our and the VIE Group’s borrowers from incurring other debt or impose financial covenants on borrowers during the term of the loan, which will increase the risk of non-payment on our and the VIE Group’s loans.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activities on our and the VIE Group’s platform could negatively impact our and the VIE Group’s operating results, brand and reputation and cause the use of our and the VIE Group’s loan facilitation services to decrease.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 Group’s risk management system comprising our and the VIE Group’s policy framework, credit assessment and fraud detection technology and modules may not be adequate, which may adversely affect the reliability of our and the VIE Group’s platform, and in turn damage our and the VIE Group’s reputation, business and results of operations.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our securities may be prohibited under the Holding Foreign Companies Accountable Act or the Accelerating Holding Foreign Companies Accountable Act, if it is later determined that the PCAOB is unable to inspect or investigate completely our auditor, and as a result, U.S. national securities exchanges, such as Nasdaq, may determine to delist our securities.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authority to exert influence on the China operations of an offshore holding company, such as us. Changes in China’s economic, political or social conditions, or government policies may cause our and the consolidated VIE’s underlying operations in China to become prohibitive, which could materially and adversely affect our and the consolidated VIE’s business, financial condition, and results of operations.</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consolidated VIE are subject to extensive and evolving legal development, non-compliance with which, or changes in which, may materially and adversely affect our and the consolidated VIE’s business and prospects, and may result in a material change in our and the consolidated VIE’s operations and/or the value of our ADSs or could significantly limit or completely hinder our and the consolidated VIE’s ability to offer or continue to offer securities to investors and cause the value of our securities to significantly decline or be worthless.</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over our and the consolidated VIE’s business operations could result in a material adverse change in our and the consolidated VIE’s operations and the value of our ADSs.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requirements of the CSRC, the CAC or other PRC government authorities may be required under PRC law in connection with a future offering of our securities to foreign investors.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deems that the Contractual Arrangements in relation to Jiayin Technology do not comply with PRC regulatory restrictions on foreign investment in the relevant industries, or if these regulations or the interpretation of existing regulations change in the future, we could be subject to severe penalties or be forced to relinquish our beneficial interest in those operations.</w:t>
      </w:r>
    </w:p>
    <w:p>
      <w:pPr>
        <w:spacing w:after="0" w:line="6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63" w:right="339" w:bottom="1440" w:gutter="0" w:footer="0" w:header="0"/>
        </w:sectPr>
      </w:pPr>
    </w:p>
    <w:bookmarkStart w:id="24" w:name="page25"/>
    <w:bookmarkEnd w:id="24"/>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Jiayin Technology and shareholders of Jiayin Technology for certain business operations, which may not be as effective as direct ownership in providing operational control, and these contractual arrangements have not been tested in a court of law.</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and the VIE Group’s business and results of operations.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PRC laws and regulations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any share repurchase plan will be fully consummated or that any share repurchase plan will enhance long-term shareholder value, and share repurchases could increase the volatility of the trading price of the ADSs and could diminish our cash reserves.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will limit your ability to influence corporate matters and could discourage others from pursuing any change of control transactions that holders of our Class A ordinary shares and ADSs may view as beneficial.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operate in China’s online consumer finance marketplace, an evolving industry, which makes it difficult to evaluate our and the VIE Group’s future prospects.</w:t>
      </w:r>
    </w:p>
    <w:p>
      <w:pPr>
        <w:spacing w:after="0" w:line="159"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8"/>
          <w:szCs w:val="18"/>
          <w:color w:val="auto"/>
        </w:rPr>
        <w:t>The regulatory framework for China’s online consumer finance industry is evolving. It is possible that the PRC laws and regulations may change in ways that do not favor our and the VIE Group’s development. If that happens, there may not be adequate loans facilitated on our and the VIE Group’s platform, and our and the VIE Group’s current business model may be negatively affected. Attracting and retaining borrowers and institutional funding partners is critical to increase the volume of loans facilitated through our and the VIE Group’s platform. In addition, our and the VIE Group’s business has grown substantially in recent years, but our and the VIE Group’s past growth rates may not be indicative of our and the VIE Group’s future growth.</w:t>
      </w:r>
    </w:p>
    <w:p>
      <w:pPr>
        <w:spacing w:after="0" w:line="183" w:lineRule="exact"/>
        <w:rPr>
          <w:sz w:val="20"/>
          <w:szCs w:val="20"/>
          <w:color w:val="auto"/>
        </w:rPr>
      </w:pPr>
    </w:p>
    <w:p>
      <w:pPr>
        <w:jc w:val="both"/>
        <w:ind w:firstLine="508"/>
        <w:spacing w:after="0" w:line="282" w:lineRule="auto"/>
        <w:rPr>
          <w:sz w:val="20"/>
          <w:szCs w:val="20"/>
          <w:color w:val="auto"/>
        </w:rPr>
      </w:pPr>
      <w:r>
        <w:rPr>
          <w:rFonts w:ascii="Times New Roman" w:cs="Times New Roman" w:eastAsia="Times New Roman" w:hAnsi="Times New Roman"/>
          <w:sz w:val="18"/>
          <w:szCs w:val="18"/>
          <w:color w:val="auto"/>
        </w:rPr>
        <w:t>You should consider our and the VIE Group’s business and prospects in light of the risks and challenges we and the VIE Group encounter or may encounter in this developing and rapidly evolving industry. These risks and challenges include our and the VIE Group’s ability to, among other things:</w:t>
      </w:r>
    </w:p>
    <w:p>
      <w:pPr>
        <w:spacing w:after="0" w:line="162"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of our and the VIE Group’s platform and the confidentiality of the information provided and utilized across our and the VIE Group’s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regulatory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base of borrowers and institutional funding partners served on our and the VIE Group’s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and the VIE Group’s credit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and the VIE Group’s risk management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and the VIE Group’s operational efficiency;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our and the VIE Group’s technology infrastructure to support the growth of our and the VIE Group’s platform and higher transaction volume;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being adversely affected by the negative publicity about the industry in general and our and the VIE Group’s company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cultivate a vibrant consumer finance ecosystem;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5" w:name="page26"/>
    <w:bookmarkEnd w:id="25"/>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ourselves in litigation, and against regulatory, intellectual property, privacy or other claims.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market for our and the VIE Group’s platform does not develop as we and the VIE Group expect, if we and the VIE Group fail to educate potential users and funding sources about the value of our and the VIE Group’s platform and services, or if we and the VIE Group fail to address the needs of our and the VIE Group’s target customers, our and the VIE Group’s reputation, business and results of operations will be materially and adversely affected.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governing online consumer finance industry in China are evolving and subject to changes, which may limit the growth of our and the VIE Group’s business. If we and the VIE Group fail to comply with existing and future applicable laws, regulations or requirements of local regulatory authorities, our and the VIE Group’s business, financial conditions and results of operations would be materially and adversely affected.</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laws and regulations governing online consumer finance industry in China are evolving. Before any industry-specific regulations were introduced in mid-2015, the PRC government relied on general and basic laws and regulations for governing the online consumer finance industry, including the Civil Code of the PRC and related judicial interpretations promulgated by the Supreme People’s Court. See “Item 4. Information on the Company—B. Business Overview—Regulation—Regulations Relating to Online Consumer Finance Services.”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2015, the People’s Bank of China, or the PBOC, together with nine other PRC regulatory agencies jointly issued a series of policy measures applicable to the online finance industry titled the Guidelines on Promoting the Healthy Development of Online Finance Industry, or the Guidelines. The Guidelines formally introduced for the first time the regulatory framework and basic principles governing the online finance industry. Following the core principles of the Guidelines, a series of additional restrictions and affirmative obligations were imposed on online lending information intermediaries by (i) the Circular on Regulating and Rectifying of “Cash Loan” Services in December 2017, or the Circular 141, (ii) the Interim Measures for the Administration of Online Loans by Commercial Banks issued in July 2020, or the Commercial Banks Online Lending Measures, (iii) the Notice on Further Regulating Commercial Banks Online Lending issued in February 2021, or the Circular 24, (iv) the Notice on Further Strengthening the Regulation and Management Work of Internet Consumer Loan for College Students in February 2021, or the Notice on Internet Consumer Loan for College Students, and (v) the Announcement No. 3 issued by the PBOC on March 2021, (vi) the Notice by the National Financial Regulatory Administration of Strengthening the Management of the Internet Loan Facilitation Business of Commercial Banks to Enhance the Quality and Efficiency of Financial Services issued by the National Financial Regulatory Administration in January 2025 and came into effect in October 2025, or the Strengthening the Management of the Internet Loan Facilitation Business of Commercial Banks, (v) On April 21, 2026, the PBOC, the MIIT, the SAMR, the National Financial Regulatory Administration, the CSRC, the State Intellectual Property Office, the CAC, the SAFE jointly issued the Measures for the Management of Online Marketing of Financial Products, or the Measures for Online Marketing, which will come into effect on September 30, 2026.</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laws, regulations, rules and governmental policies are expected to continue to evolve in our and the VIE Group’s industry. The growth in popularity of online consumer finance in China increases the likelihood for the government authorities to further regulate our and the VIE Group’s industry. For instance, business failures of, or accusations of fraud and unfair dealing against, certain companies in the online consumer finance industry in China have surfaced in recent years, creating a negative public perception of online consumer finance market players. In an effort to manage risks and maintain market integrity, PRC regulatory authorities have issued various guidelines and policies that impose stricter requirements on online consumer finance platforms. Certain of these policies impose limits on the growth of the online consumer finance industry and market. Considering the regulatory environment on online lending intermediaries, we and the VIE Group ceased to offer new loans for online individual investors’ subscription since April 2020 and transitioned to a full institutional funding partner model. In November 2020, the outstanding loan balance of our and the VIE Group’s legacy P2P lending business was reduced to zero.</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are unable to predict with certainty the impact, if any, that future legislation, judicial interpretations or regulations relating to the online consumer finance industry, or the status and scrutiny of implementation thereof will have on our and the VIE Group’s business, financial condition and results of operations. Future changes to the PRC law and regulation may require us to change our business model or limit the growth of our and the VIE Group’s business. To the extent that we and the VIE Group are not able to fully comply with any applicable laws or regulations, our and the VIE Group’s business, financial condition and results of operations may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and the VIE Group’s practice is deemed to violate any PRC laws and regulations, our and the VIE Group’s business, financial condition and results of operations would be materially and adversely affected.</w:t>
      </w:r>
    </w:p>
    <w:p>
      <w:pPr>
        <w:spacing w:after="0" w:line="1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PRC regulatory regime with respect to the online consumer finance industry is evolving, which result in difficulties in determining whether our and the VIE Group’s existing practices may be interpreted to violate any applicable laws and regulations.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comply with existing laws, regulations, rules and governmental policies relating to the online consumer finance industry, we and the VIE Group have implemented various policies and procedures to conduct our and the VIE Group’s business and operations. However, we and the VIE Group cannot be certain that our and the VIE Group’s existing practices would not be deemed to be in violation of any existing or future laws, rules and regulations that are applicable to our and the VIE Group’s business.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Circular 141 requires banking financial institutions that participate in the “cash loan” business to ensure that no third parties will charge borrowers any interest or fees from borrowers and they themselves will not accept any credit enhancement services or other similar services from third parties without qualification to provide guarantee. Since the third quarter of 2019, we and the VIE Group have proactively made an adjustment to our and the VIE Group’s cooperation model with institutional funding partners through Geerong Yunke and Jiangxi Yunkaijianming. To comply with Circular 141, we and the VIE Group cooperate with certain institutional funding partners such as commercial banks, trusts, consumer finance companies and microcredit companies by having them charge fees directly from borrowers and pay service fees to us. However, due to the fact that the laws and regulations are rapidly evolving, we and the VIE Group cannot assure you that our and the VIE Group’s business model will be in full compliance with existing and future laws and regulations.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Moreover, Circular 141 prohibits banking financial institutions from outsourcing core businesses, such as credit examination and risk control. Currently, loans facilitated by Geerong Yunke and Jiangxi Yunkaijianming are directly funded to the borrowers. We and the VIE Group refer to such institutional funding partners borrowers from qualified credit applicants, and only provide initial screening and technical services. They will then review the applications and conduct risk controls themselves. However, we and the VIE Group cannot rule out the possibility that government authorities could consider our and the VIE Group’s services to be in violation of Circular 141. If any of our and the VIE Group’s services are deemed to be in violation of Circular 141, we and the VIE Group could face penalties, including but not limited to suspensions of operation, orders to rectify and condemnation. If this is the case, our and the VIE Group’s business, financial condition and results of operations could be materially and adversely affected.</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on October 9, 2019, CBIRC, together with eight other PRC regulatory agencies jointly issued the Notice on Printing and Distributing the Supplementary Provisions on the Supervision and Management of Financing Guarantee Companies (the “CBIRC Circular 37”), which explicitly provides that institutions providing customer promotion, credit assessment and other services for various lending institutions shall not provide financing guarantee services without approval. For the loans facilitated between borrowers and institutional funding partners, we and the VIE group have engaged third-party licensed financing guarantee companies (the “Licensed Credit Enhancement Providers”) to provide financing guarantees to our and the VIE Group’s institutional funding partners. If any borrower defaults, the Licensed Credit Enhancement Providers are obligated to repay the overdue amount and interest to the corresponding institutional funding partner. The Licensed Credit Enhancement Providers also demand counter-guarantees by another credit enhancement company in some contracts cases. Under certain circumstances, we and the VIE Group also provide additional commitment to certain institutional funding partners or the Licensed Credit Enhancement Providers. To better manage the associated risks, we and the VIE Group in turn obtain a back-to-back guarantee from another third-party company.</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Despite our and the VIE Group’s efforts to reduce regulatory risks, we and the VIE group cannot assure you that the relevant government authorities would not interpret the commitments we and the VIE Group provided to our and the VIE Group’s institutional funding partners or the Licensed Credit Enhancement Providers as an operation of financing guarantee business without approval. If relevant government authorities take the view that the commitments we and the VIE Group provided to our and the VIE Group’s institutional funding partners or the Licensed Credit Enhancement Providers is a provision of financing guarantee business without approval, we and the VIE Group would be subject to licensing requirements, fines and other administrative penalties. As a result, our and the VIE Group’s business, financial condition, and results of operations could be adversely affected.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further reduce the regulatory risks, apart from licensed third-party financing guarantee companies, starting January 2022, we and the VIE Group established our and the VIE Group’s own licensed financing guarantee companies to provide additional commitment to certain institutional funding partners or the Licensed Credit Enhancement Providers, or provide financing guarantee services directly to our and the VIE Group’s institutional funding partners for the loans funded by them. According to the regulations on financial guarantee, the maximum amount of outstanding guarantee liabilities of a licensed financing guarantee company may not exceed ten times of its net assets. As a result, the maximum amount of outstanding guarantee liabilities that can be provided by our and the VIE Group’s own licensed guarantee companies cannot meet the needs of all of our institutional funding partners.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it is reported that, in July 2021, the Credit Bureau of the PBOC issued a notice to the online platform operators, requiring online platforms to achieve full “disconnection” of personal information from financial institutions. Online platform operators which provide online loan facilitating services, shall not provide information submitted by individuals, information generated within the online platform or information obtained from external sources directly to financial institutions in the name of application information, identity information, basic information, personal profile scoring information, etc. During our and the VIE Group’s cooperation with certain institutional funding partners since the third quarter of 2019, we and the VIE Group provide the personal information of individual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borrowers after initial screening to our and the VIE Group’s institutional funding partners. To ensure compliance, we have involved two licensed credit reporting institutions and have substantially completed our business adjustments with respect to disconnecting direct connection for credit reporting as of the date of this annual report. In particular, we have entered into collaboration agreements with two licensed credit reporting institutions to ensure the flow of personal information complies with the requirements of Measures for the Administration of the Credit Reporting and the notice of the Credit Bureau of the PBOC.</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and the VIE Group cannot assure you that the business operations of our and the VIE Group’s institutional funding partners currently are, or will continue to be, in compliance with the relevant PRC laws and regulations. Failure of our and the VIE Group’s institutional funding partners to comply with the relevant PRC laws and regulations may materially and adversely affect our and the VIE Group’s business, results of operations, financial condition and prospects. For example, the Implementation Measures of the PBOC for Protecting Rights and Interests of Financial Consumers provide that banks and payment institutions shall follow the principles of voluntariness, equality, fairness and good faith, and protect the legitimate rights and interests of consumers of financial products and services when providing financial products or services to consumers. The aforementioned Measures also specify various requirements on banks and payment institutions to protect consumers’ financial information, including requirements on the collection, disclosure, notification, use, management, storage and confidentiality of such information. In the event our and the VIE Group’s funding partners violate the provisions in the measures, they could become subject to penalties, including warnings, fines, suspension of business and revocation of required licenses, and as a result, we and the VIE Group may need to modify our and the VIE Group’s business practices and our and the VIE Group’s business, results of operations, financial condition and prospects would be materially and adversely affected.</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and the VIE Group have not been subject to any material fines or other penalties under any PRC laws or regulations, including those governing the online consumer finance industry and financing guarantee services in China. If our and the VIE Group’s practice is deemed to violate any laws, regulations and rules, we and the VIE Group may face, among others, regulatory warning, corrective order, condemnation, fines and criminal liability. If such situations occur, our and the VIE Group’s business, financial condition, results of operations and prospects would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and the VIE Group’s cooperation with institutional funding partners may expose us to regulatory requirements and we and the VIE Group may be required to obtain additional government approval or license due to our and the VIE Group’s cooperation with institutional funding partners.</w:t>
      </w:r>
    </w:p>
    <w:p>
      <w:pPr>
        <w:spacing w:after="0" w:line="15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and the VIE Group have expanded our and the VIE Group’s institutional funding partner base and the volume of loans funded by our and the VIE Group’s institutional funding partners in 2020 and since April 2020, we and the VIE Group collaborate exclusively with institutional funding partners to fund our and the VIE Group’s loans. Our and the VIE Group’s collaboration with institutional funding partners has exposed us to and may continue to expose us to additional regulatory requirements faced by such institutional funding partners. For example, Circular 141 provides a series of guidance on the cash loan business of financial institutions. In July 2020, the CBIRC issued the Commercial Banks Online Lending Measures to provide detailed rules on online loans provided by commercial banks. Further, on February 19, 2021, the CBIRC further issued the Notice of Further Regulating Online Loan Business of Commercial Banks, also known as Circular 24, which provides that the commercial banks shall independently carry out the risk management of online loans and are forbidden from outsourcing the material procedures of loan management. Circular 24 will also apply by analogy to branches of foreign banks, trusts, consumer finance companies and auto finance companies. The Strengthening the Management of the Internet Loan Facilitation Business of Commercial Banks provided that Commercial banks shall strengthen the access management of platform operating institutions and credit enhancement service institutions, prudently formulate access standards, effectively conduct due diligence, and exercise strict approval. The head office shall sign cooperation agreements with platform operating institutions and credit enhancement service institutions that are complete in elements, clear in division of responsibilities, balanced in rights and obligations, and fair and reasonable. The content of the agreements shall include the relevant provisions of the Strengthening the Management of the Internet Loan Facilitation Business of Commercial Banks. The head office of a commercial bank shall implement a list-based management system for platform operating institutions and credit enhancement service institutions, disclose the list through official websites, mobile applications, and other channels, and promptly update and adjust the list. Commercial banks shall not conduct internet lending assistance business cooperation with institutions outside the list. Commercial banks shall specify the fee standards or ranges for platform services and credit enhancement services in cooperation agreements, include credit enhancement service fees into the borrower's comprehensive financing costs, define the range of comprehensive financing costs, and simultaneously clarify that platform operating institutions shall not charge any form of interest or fees to borrowers, and credit enhancement service institutions shall not increase credit enhancement service rates in disguised forms such as consulting fees or advisory fees. Commercial banks shall implement differentiated risk-based pricing, ensuring that loan interest rates and credit enhancement service rates correspond to the risk profile of the business, and shall not simplistically price at the upper limit of the comprehensive financing cost range stipulated in the cooperation agreement. Commercial banks shall fully and accurately grasp the actual charges of credit enhancement service institutions to ensure that the comprehensive financing cost paid by the borrower for a single loan complies with relevant provisions such as the Several Opinions on Further Strengthening the Judicial Work in the Finance Sector, effectively safeguarding the legitimate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rights and interests of borrowers. Furthermore, commercial banks shall fully obtain necessary information about the borrower, including basic personal information, income, liabilities, and repayment sources, carry out commercial cooperation with market institutions possessing legitimate credit reporting business qualifications to obtain credit reporting services, and independently conduct risk assessment and approval. Cooperation agreements shall specify that platform operating institutions shall not improperly interfere with the commercial bank's independent loan review process by means such as setting lower limits for approval rates. The most significant aspect of the Strengthening the Management of the Internet Loan Facilitation Business of Commercial Banks is the requirement for commercial banks to strictly control total borrowing costs, which may have an adverse effect on our operations. Furthermore, the implementation of whitelist requirements has introduced additional uncertainty with respect to our funding relationships. To comply with such guidance, our and the VIE Group’s institutional funding partners, such as commercial banks, trusts, consumer finance companies and microcredit companies, may need to change their cooperation model with their business partners, including us, which may adversely affect our and the VIE Group’s business. In addition, we and the VIE Group cannot assure you that the business operations of our and the VIE Group’s institutional funding partners currently are or will be in compliance with the relevant PRC laws and regulations, and in the event that our and the VIE Group’s institutional funding partners do not operate their businesses in accordance with the relevant PRC laws and regulations, they will be exposed to various regulatory risks and therefore, our and the VIE Group’s business, financial condition and prospects would be materially and adversely affected.</w:t>
      </w:r>
    </w:p>
    <w:p>
      <w:pPr>
        <w:spacing w:after="0" w:line="187" w:lineRule="exact"/>
        <w:rPr>
          <w:sz w:val="20"/>
          <w:szCs w:val="20"/>
          <w:color w:val="auto"/>
        </w:rPr>
      </w:pPr>
    </w:p>
    <w:p>
      <w:pPr>
        <w:jc w:val="both"/>
        <w:ind w:firstLine="508"/>
        <w:spacing w:after="0" w:line="253" w:lineRule="auto"/>
        <w:rPr>
          <w:sz w:val="20"/>
          <w:szCs w:val="20"/>
          <w:color w:val="auto"/>
        </w:rPr>
      </w:pPr>
      <w:r>
        <w:rPr>
          <w:rFonts w:ascii="Times New Roman" w:cs="Times New Roman" w:eastAsia="Times New Roman" w:hAnsi="Times New Roman"/>
          <w:sz w:val="18"/>
          <w:szCs w:val="18"/>
          <w:color w:val="auto"/>
        </w:rPr>
        <w:t>In addition, CBIRC Circular 37 explicitly provides that institutions providing customer promotion, credit assessment and other services for various lending institutions shall not provide financing guarantee services without approval. For the loans facilitated between borrowers and institutional funding partners, we and the VIE Group have engaged the Licensed Credit Enhancement Providers to provide financing guarantees to our and the VIE Group’s institutional funding partners. If any borrower defaults, the Licensed Credit Enhancement Providers are obligated to repay the overdue amount and interest to the corresponding institutional funding partner. The Licensed Credit Enhancement Providers also demand counter-guarantees by another credit enhancement company in some contracts cases. Under certain circumstances, we and the VIE Group also provide additional commitment to certain institutional funding partners or the Licensed Credit Enhancement Providers. To better manage the associated risks, we and the VIE Group in turn obtain a back-to-back guarantee from another third-party company. Despite our and the VIE Group’s efforts to reduce regulatory risks, we and the VIE Group cannot assure you that the relevant government authorities would not interpret the commitments we and the VIE Group provided to our institutional funding partners or the Licensed Credit Enhancement Providers as an operation of financing guarantee business without approval. If relevant government authorities take the view that the commitments we provided to our and the VIE Group’s institutional funding partners or the Licensed Credit Enhancement Providers is a provision of financing guarantee business without approval, we and the VIE Group would be subject to licensing requirements, fines and other administrative penalties. As a result, our and the VIE Group’s business, financial condition, and results of operations could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conduct businesses in many countries and intend to continue to expand in international markets, we are subject to legal, reputational and operational risks, as well as a broad array of local legal and regulatory requirements that could adversely affect our operations.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operate our businesses with a focus on the China market, we have been exploring opportunities in other developing countries with a significant size of low- to mid- income population in recent years and intend to continue to expand our businesses in international markets. For example, we established our Indonesia office in 2019 to supervise our rapid development in Southeast Asia and we increased our investments in Indonesia in recent years to explore more business opportunities in local markets.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Operating a multinational business creates difficulties associated with staffing, managing our global operations, as well as complying with local legal and regulatory requirements. Our existing operations in international markets may not succeed eventually, and may expose us to increased risks associated with different market dynamics and competition in the international markets. We are subject to a variety of local laws and regulations that involve matters central to our business, including, among others, financial services, data privacy and security, competition, consumer protection and taxation. These laws can be particularly restrictive in certain jurisdictions, as they constantly evolve and remain subject to change. In addition, the application and interpretation of these laws and regulations, which are subject to change, could result in government inquiries, claims, disputes, changes to our business practices, increased cost of operations and declines in user growth, retention or engagement, any of which could seriously harm our business.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we expect our operations to continue to expand in many jurisdictions. Some of these jurisdictions have undergone significant political, economic and social change in recent years and the risk of new, unforeseen changes in these jurisdictions remains greater than in the U.S. or other more developed countries. Although we have engaged experienced staffs and consultants in jurisdictions in which we deem appropriate, we cannot assure you that we will continue to be found to be operating in compliance with all applicable laws or regulations which we may be subject to. We may also be subject to increased reputational risk, or be scrutinized for compliance with labor, social security or tax requirements in connection with certain of our employment practices in different jurisdictions. In addition, we cannot assure you that laws and regulations applicable to us will not be modified or interpreted in ways that could adversely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affect our business. Our business, financial condition and results of operations could be materially and adversely affected if we cannot effectively manage our business to address the market demands and complexities of operating a multinational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VIE Group are unable to maintain and increase the number of our and the VIE Group’s borrowers or the volume of loans facilitated through our and the VIE Group’s platform, our and the VIE Group’s business and results of operations will be adversely affected.</w:t>
      </w:r>
    </w:p>
    <w:p>
      <w:pPr>
        <w:spacing w:after="0" w:line="15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 total loan facilitation volume facilitated through our and the VIE Group’s platform was RMB88.1 billion in 2023, RMB100.8 billion in 2024 and RMB129.0 billion </w:t>
      </w:r>
      <w:r>
        <w:rPr>
          <w:rFonts w:ascii="Times New Roman" w:cs="Times New Roman" w:eastAsia="Times New Roman" w:hAnsi="Times New Roman"/>
          <w:sz w:val="17"/>
          <w:szCs w:val="17"/>
          <w:color w:val="auto"/>
        </w:rPr>
        <w:t>(US$18.4 billion) in 2025, respectively. To maintain the high growth momentum of our and the VIE Group’s platform, we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VIE Group must continuously increase the volume of loans by retaining current participants and attracting more users whose financing needs can be met on our and the VIE Group’s platform. If there are insufficient institutional funding sources, borrowers may not be able to obtain capital through our and the VIE Group’s platform and may turn to other sources for their borrowing needs. If we and the VIE Group are unable to attract qualified borrowers and sufficient institutional funding, or if borrowers do not continue to participate in our and the VIE Group’s platform at the current rates due to any changes or other business or regulatory reasons, we and the VIE Group may be required to modify the way we and the VIE Group conduct our and the VIE Group’s business to ensure compliance with existing or new PRC laws and regulations, we and the VIE Group might not be able to increase our and the VIE Group’s loan transaction volume and revenues as we and the VIE Group expect, and our and the VIE Group’s business and results of operations may be adversely affected.</w:t>
      </w:r>
    </w:p>
    <w:p>
      <w:pPr>
        <w:spacing w:after="0" w:line="3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VIE Group are unable to secure funding from institutional funding partners on terms acceptable to us, or at all, our and the VIE Group’s reputation, results of operations and financial condition may be materially and adversely affected.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collaborate with institutional funding partners to fund certain loans we and the VIE Group facilitate. Our and the VIE Group’s current institutional funding partners include commercial banks, consumer finance companies, trusts and microcredit companies. The growth and success of our and the VIE Group’s future operations depend on the availability of adequate funding, at a commercially reasonable cost, to meet borrower demand for loans facilitated on our and the VIE Group’s platform.</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availability of funding from institutional funding partners depends on many factors, some of which are out of our and the VIE Group’s control. Some of our and the VIE Group’s institutional funding partners have limited operating history, and there can be no assurance that we and the VIE Group will be able to rely on their funding in the future. Our and the VIE Group’s ability to cooperate with new institutional funding partners may be subject to regulatory or other limitations. In addition, regardless of our and the VIE Group’s risk management efforts, loans facilitated by us may nevertheless be considered riskier and have a higher delinquency rate than loans provided by traditional financial institutions. If the funding partners’ risk appetite changes due to changes in economic conditions, regulatory regime, any unexpected shortage of funds, availability of licensed third party credit enhancement service providers or other reasons, funding partners may choose to offer different investment terms, which are not acceptable to us, or choose to not invest in loans facilitated on our and the VIE Group’s platforms. In the event there is a sudden or unexpected shortage of funds from our and the VIE Group’s institutional funding partners, or if our and the VIE Group’s institutional funding partners have determined not to continue to collaborate with us, we and the VIE Group may not be able to maintain necessary levels of funding without incurring high costs of capital, or at all. If adequate funds are not available to meet borrowers’ demand for loans when they arise, our and the VIE Group’s platforms may not be able to fulfill all loan requests and the volume of loans facilitated on our and the VIE Group’s platforms may be significantly impacted. If the volume of loans facilitated on our and the VIE Group’s platforms are unable to fulfill all loan requests of potential borrowers on a timely basis, we and the VIE Group may experience a loss of market share or slower than expected growth, in which case our and the VIE Group’s business, financial condition and results of operations could be materially and adversely affected. While we and the VIE Group have managed to diversify our and the VIE Group’s funding sources, there can be no assurance that our and the VIE Group’s funding sources will remain or become increasingly diversified in the future. If we and the VIE Group become dependent on a small number of institutional funding partners and any such institutional funding partner determines not to collaborate with us or limits the funding that is available, our and the VIE Group’s business, financial condition, results of operations and cash flow may be materially and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and the VIE Group’s institutional funding partners typically agree to provide funding to our and the VIE Group’s users who meet their predetermined criteria, subject to their approval process. In addition, while our and the VIE Group’s users’ loan requests are usually approved if they fall within the parameters set and agreed upon by us and our and the VIE Group’s institutional funding partners, they may implement additional requirements in their approval process outside of our and the VIE Group’s monitor and control. Thus, there is no assurance that our and the VIE Group’s institutional funding partners could provide reliable, sustainable and adequate funding to support the required liquidity as they could decline to fund user loans facilitated on our and the VIE Group’s platform. In addition, if PRC laws and regulations impose more restrictions on cooperation with institutional funding partners, these institutional funding partners will become more selective in choosing cooperation partners, which may drive up the funding costs and the competition among loan facilitation platforms to cooperate with a limited number of institutional funding partners as well as other non-institutional funding sources. Any of the above may materially increase our and the VIE Group’s funding costs, which may adversely affect our and the VIE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Group’s results of operations and profitability. Furthermore, if PRC laws and regulations are issued that prohibit our and the VIE Group’s cooperation with our and the VIE Group’s institutional funding partners, our and the VIE Group’s cooperation with our and the VIE Group’s funding partners may have to be terminated or suspended, which may materially and adversely affect our and the VIE Group’s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VIE Group are unable to provide a high-quality user experience, our and the VIE Group’s business and reputation may be materially and adversely affected.</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and the VIE Group’s business largely depends on our and the VIE Group’s ability to provide high-quality user experience, which in turn depends on a variety of factors. These factors include our and the VIE Group’s ability to continue to offer loan facilitation services at competitive amount of financing interest and service fees and adequate credit limits, reliable and user-friendly website interface and mobile apps for users to browse, apply for credit, and further improve our and the VIE Group’s online transaction process. If users are not satisfied with our and the VIE Group’s services, or our and the VIE Group’s system is severely interrupted or otherwise fail to meet the borrowers’ requests, our and the VIE Group’s reputation and borrower loyalty could be adversely affected.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our and the VIE Group’s user service representatives fail to provide satisfactory service, or if waiting time for our and the VIE Group’s user service hotline is too long due to the high volume of inquiries from users at peak times, our and the VIE Group’s brands and borrower loyalty may be adversely affected. In addition, any negative publicity or poor feedback regarding our and the VIE Group’s borrower service may harm our and the VIE Group’s brands and reputation and in turn cause us to lose borrowers and market share. As a result, if we and the VIE Group are unable to continue to maintain or enhance our and the VIE Group’s borrower experience and provide a high-quality borrower service, we and the VIE Group may not be able to retain borrowers or attract prospective borrowers, which could have a material adverse effect on our and the VIE Group’s business, financial condition and results of operations.</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Furthermore, our and the VIE Group’s platform features a high proportion of repeat borrowers. Out of the total loan volume facilitated through our and the VIE Group’s platform in 2023, 2024 and 2025, 75.0%, 74.2% and 76.0%, respectively, was attributable to repeat borrowers who had successfully borrowed on our and the VIE Group’s platform before. The loan size of repeat borrowing of repeat borrowers tends to be larger than that of first time borrowing. Repeat borrowing also generally contributes to a higher overall credit quality of borrowers on our and the VIE Group’s platform as we and the VIE Group only permit borrowers with positive repayment histories to become repeat borrowers. If we and the VIE Group are unable to maintain a high-quality user experience in the future, the numbers of our and the VIE Group’s repeat borrowing rate and repeat borrowers on our and the VIE Group’s platform will decrease. As a result, the credit quality, amount of transaction and service fees and overall profitability of our and the VIE Group’s platform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with respect to us, the online consumer finance industry in general and our third-party partners may materially and adversely affect our business and results of operations.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Reputation of our brand is critical to our business and competitiveness. Factors that are vital to our reputation include but are not limited to our ability to:</w:t>
      </w:r>
    </w:p>
    <w:p>
      <w:pPr>
        <w:spacing w:after="0" w:line="16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quality and reliability of our and the VIE Group’s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borrowers and institutional funding partners with a superior experience in our and the VIE Group’s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improve our and the VIE Group’s credit assessment;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and resolve complaints from borrowers and institutional funding partners;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protect personal information and privacy of borrowers and institutional funding partners.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malicious or negative allegation made by the media or other parties about the foregoing or other aspects of our company, including but not limited to our management, business, compliance with law, financial condition or prospects, whether with merit or not, could severely compromise our reputation and harm our business and operating results.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the China online consumer finance industry is evolving, negative publicity about this industry may arise from time to time. Negative publicity about China’s online consumer finance industry in general may also have a negative impact on our reputation, regardless of whether we have engaged in any inappropriate activities. The PRC government has recently instituted specific rules to develop a more transparent regulatory environment for the online consumer finance industry. Any players in China’s online consumer finance industry who are not in compliance with these regulations may adversely impact the reputation of the industry as a whole. Furthermore, any negative development in, or negative perception of, the online consumer finance industry as a whole, even if factually incorrect or based on isolated incidents, could compromise our image, undermine the trust and credibility we have established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impose a negative impact on our ability to attract new funding partners and borrowers. Negative developments in the online consumer finance industry, such as widespread borrower defaults, fraudulent behavior and/or the closure of other online consumer finance platforms, may also lead to tightened regulatory scrutiny of the sector and limit the scope of permissible business activities that may be conducted by online consumer finance platforms like us. For instance, there were a number of reports of business failures of, or accusations of fraud and unfair dealing against, certain companies in the online consumer finance industry in China. Although the market exits of these companies may result in more healthy and stable development of the overall online consumer finance industry, to the extent borrowers or funding partners associate our company with these companies, they may be less willing to initiate transactions on our platform. Our business, financial condition and results of operations were adversely affected by such unfavorable market developments. See “Item 5. Operating and Financial Review and Prospects.”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negative publicity about our partners, service providers or other counterparties, such as negative publicity about their loan collection practices and any failure by them to adequately protect the information of our funding partners and borrowers, to comply with applicable laws and regulations or to otherwise meet required quality and service standards could harm our reputation. If any of the foregoing takes place, our business and results of operations could be materially and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PRC regulations relating to interest rates for marketplace and microcredit lending could have a material adverse effect on our and the VIE Group’s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relevant PRC laws and regulations, in the context of lending activities between individuals, entities or other organizations that are not licensed financial institutions, if the interest rate of a loan exceeds 36% per annum, the exceeding part of the interest rate is invalid and void; if the interest rate of a loan exceeds 24% per annum but is no more than 36% per annum, the exceeding part will be treated as natural obligation—valid but not enforceable in the PRC judicial system, while the enforceability of the 24% per annum part will not be affected. In addition, on August 4, 2017, the Supreme People’s Court promulgated the Circular of Several Suggestions on Further Strengthening the Judicial Practice Regarding Financial Cases, which provides, among others, that (i) the claim of a borrower under a financial loan agreement to adjust or cut down the part of interest exceeding 24% per annum on the basis that the aggregate amount of interest, compound interest, default interest, liquidated damages and other fees collectively claimed by the lender is overly high shall be supported by the PRC courts; and (ii) in the context of online finance disputes, if the online loan facilitation platforms and the lender circumvent the upper limit of the judicially protected interest rate by charging intermediary fee, it shall be ruled as invalid. In addition, under Circular 141, the overall borrowing costs charged to borrowers should be calculated by loan interest together with all relevant fees and presented in an annualized form.</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Supreme People’s Court and the National Development and Reform Commission jointly released the Opinions on Providing Judicial Services and Safeguards for Accelerating the Improvement of the Socialist Market Economic System for the New Era. This document states that if the interest and fees, including interest, compound interest, penalty interest, liquidated damages and other fees, claimed by one party to the loan contract exceed the upper limit under judicial protection, the claim will not be supported by the court, and if the parties to the loan disguise the financing cost in an attempt to circumvent the upper limit, the rights and obligations of all parties to the loan will be determined by the actual loan relationship.</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September 1, 2015, the Provisions of the Supreme People’s Court on Several Issues Concerning the Application of Law in the Trial of Private Lending Cases came into effect and was then amended on August 20, 2020 and January 1, 2021. Under these amendments, if the service fees or other fees that we and the VIE Group charge are deemed to be loan interest or fees related to loans (inclusive of any default rate and default penalty and any other fee), then in the event that the sum of the annualized interest that lenders charge and fees we and the VIE Group and our and the VIE Group’s business partners charge exceed four times the one-year Loan Prime Rate at the time of the establishment of the agreement, the borrower may refuse to pay the portion that exceeds the limit. In that case, PRC courts will not uphold our and the VIE Group’s request to demand the payment of fees that exceed the limit from the borrower. The aforementioned one-year Loan Prime Rate refers to the one-year loan market quoted interest rate issued by the National Bank Interbank Funding Center. The one-year Loan Prime Rate issued by the National Bank Interbank Funding Center on April 20, 2026 was 3.0%, and we and the VIE Group cannot assure you that the one-year Loan Prime Rate or the upper limit on interest and fee rates will not decrease in the future. As to the cases accepted by PRC courts of first instance on or after August 20, 2020 and in which the loan contracts were established before August 20, 2020, if the lender requests that the court apply the previous limits of 24% and 36% for calculating the loan interest accrued from the establishment of the loan contracts up to August 19, 2020, such request will be supported by the court, but the loan interest accrued from August 20, 2020 to the date of the loan repayment shall be calculated by applying the new limit of four times the one-year Loan Prime Rate at the time of the filing of the lawsuit.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29, 2020, the Supreme People’s Court also issued the Reply Regarding the Scope of Application of the New Private Lending Judicial Interpretation, which provides that the two amendments are not applicable to disputes arising from the relevant financial business of microcredit companies, financing guarantee companies, and five other types of local financial organizations which are regulated by local financial authorities. However, it remains to be further observed in the interpretation and implementation of the two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amendments, including their applicability in practice, the basis of the formula used to calculate the interest limit, and the scope of inclusion of related fees, as well as inconsistencies between the standard and the level of enforcement by different PRC courts. If we and the VIE Group are unable to comply with such regulatory requirements, supervision or guidance or are deemed to be charging above the maximum interest rates permitted by the relevant laws, regulations, policies or guidance, we and the VIE Group could be subject to orders of suspension, cessation or rectification, cancellation of qualifications, or other penalties, and our and the VIE Group’s business, financial condition, results of operations and our and the VIE Group’s cooperation with business partners could be materially and adversely affected as a result.</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further clarify the way of calculating “total annual interest rate,” the PBOC issued the Announcement No. 3 on March 2021, which confirms that the annualized rate of a loan should be calculated as the annualized ratio of total costs (to borrower) to outstanding principal amount. The costs include interest and other fees and charges directly related to the loan. The amount of principal should be specified in the loan contract or other loan certificates. If the loan is repaid in installments, the outstanding principal amount should be the balance after each repayment. The calculation of the annualized interest rate may be based on compound interest or simple interest. The calculation based on compound interest is equivalent to that of the internal rate of return, and the simple-interest approach should be specified as such.</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Consequently, PRC courts will not uphold our and the VIE Group’s request to demand the payment of fees that exceed the limit from the borrower. If the borrower has already paid the fees that exceed the limit, the borrower may request that our own licensed financing guarantee companies which directly provide financing guarantee services to the institutional funding partners refund the portion exceeding the limit and the PRC courts may uphold such requests. To ensure compliance with the caps, our and the VIE Group’s own licensed financing guarantee companies may need to reduce the fees they charge to our and the VIE Group’s borrowers, subject to further negotiation with them. Institutional funding partners may further lower the annual percentage rate of charge of their loans from time to time if the cap of aggregated borrowing costs charged by licensed financial institutions is further lowered by any newly adopted, or by the application of any existing, laws, regulations or ruling. If our and the VIE Group’s funding partners or us are unable to comply with such regulatory requirements, supervision or guidance or are deemed to be charging above the limits permitted by the relevant laws and regulations, our and the VIE Group’s business, financial condition, results of operations and our and the VIE Group’s cooperation with our and the VIE Group’s funding partners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the VIE Group are subject to credit cycles and the risk of deterioration of credit profiles of borrowers.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and the VIE Group’s business is subject to credit cycle, which is in turn associated with the volatility of general economy. If economic conditions deteriorate, we and the VIE Group may face increased risk of default or delinquency of borrowers, which will result in lower returns or even losses. In the event that the creditworthiness of our and the VIE Group’s borrowers deteriorates or we and the VIE Group cannot track the deterioration of their creditworthiness, the criteria we and the VIE Group use for the analysis of borrower credit profiles may be rendered inaccurate, and our and the VIE Group’s risk management system may be subsequently rendered ineffective. This in turn may lead to higher default rates and adverse impact on our and the VIE Group’s reputation, business, results of operations and financial positions.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Broader macro, political and socio-economic factors and regulatory environment in China affecting market conditions can materially and adversely affect our and the VIE Group’s business and operating results.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General economic, macro, political and socio-economic factors beyond our and the VIE Group’s control and regulatory environment in China may deter borrowers’ interest in seeking loans through our and the VIE Group’s platform, and similarly, funding partners’ willingness to lend. Such factors include the general interest rate, unemployment rates, residential home values and availability of other investment opportunities. If any of these risk factors should materialize, the volume of loans facilitated on our and the VIE Group’s platform will necessarily decline, and our and the VIE Group’s revenues and operating results may be adversely affected. For instance, from the second quarter of 2019, the loan facilitation volume on our and the VIE Group’s platform decreased due to regulatory requirements that an online lending intermediary to reduce the number of individual investors, business volume and number of borrowers. In view of the changing regulatory environment, we and the VIE Group have stopped funding our and the VIE Group’s loans with individual investors in April 2020, which negatively affected our and the VIE Group’s business and financial performance in 2020.</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Economic conditions in China are subject to domestic economic and political policies, and are also sensitive to global economic conditions, regional instability and tension, as well as the relationship among China and other countries. While the economy in China has grown significantly over the past decades, growth has been uneven, both geographically and among various sectors of the economy. The global macroeconomic environment is also facing challenges. Unrest, terrorist threats and the potential for war in the Middle East and elsewhere may increase market volatility across the globe. The conflict in Ukraine and the imposition of broad economic sanctions on Russia could raise energy prices and disrupt global markets. There have also been concerns about the relationship between China and other countries, including the surrounding Asian countries, which may result in or intensify potential conflicts in relation to territorial disputes. In addition, there is significant uncertainty about the future relationship between the United States and China with respect to</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policies, treaties, government regulations and tariffs. Any severe or prolonged slowdown in the global or Chinese economy may further adversely affect our and the VIE Group’s business, results of operations and financial condition.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cannot guarantee that economic conditions will remain favorable for our and the VIE Group’s business or industry and that demand and supply for consumer loans such as those we and the VIE Group primarily facilitate over our and the VIE Group’s platform will continue to be met at current levels. If demand or supply reduces, or if the default rate increases, our and the VIE Group’s growth and revenue will be negatively impacted.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Credit and other information that we and the VIE Group receive from prospective borrowers and third parties about a borrower may be inaccurate or may not accurately reflect the borrower’s creditworthiness, which may compromise the accuracy of our and the VIE Group’s credit assessment.</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the purpose of credit assessment, we and the VIE Group obtain from prospective borrowers and third parties certain information of the prospective borrowers, which may not be complete, accurate or reliable. The third parties whom we and the VIE Group collaborate with include industry anti-fraud service providers, Internet or wireless service providers, online shopping websites and payment service providers. A credit score assigned to a borrower may not reflect that particular borrower’s actual creditworthiness because the credit score may be based on outdated, incomplete or inaccurate borrower information. Additionally, once we and the VIE Group have obtained a borrower’s information, the borrower may subsequently (i) become delinquent in the payment of an outstanding obligation; (ii) default on a pre-existing debt obligation; (iii) take on additional debt; or (iv) sustain other adverse financial events, making the information we and the VIE Group have previously obtained inaccurate. We and the VIE Group currently cannot determine whether borrowers have outstanding loans through other online consumer finance platforms at the time they obtain a loan from us. This creates the risk that a borrower may borrow money through our and the VIE Group’s platform in order to pay off loans on other online consumer finance platforms and vice versa. If a borrower incurs additional debt before fully repaying any loan such borrower takes out on our and the VIE Group’s platform, the additional debt may impair the ability of that borrower to make payments on his or her loan and the funding partner’s ability to receive returns associated with such loan. In addition, the additional debt may adversely affect the borrower’s creditworthiness generally, and could result in the financial distress or insolvency of the borrower. To the extent that a borrower has or incurs other indebtedness and cannot repay all of his or her indebtedness, the obligations under the loans will rank pari passu to each other and the borrower may choose to make payments to other creditors rather than to funding partners on our and the VIE Group’s platform. The additional debt may adversely affect the borrower’s creditworthiness generally, and could result in the financial distress or insolvency of the borrower, impairing the borrower’s ability to repay the loan and the funding partner’s ability to receive investment returns associated with such loan. In addition, if a borrower incurs debt on other online loan facilitation platforms in order to repay our and the VIE Group’s loans, the borrower’s ability to repay such loans is limited by the availability of funding sources subject to factors beyond the borrower’s control, which may adversely affect our and the VIE Group’s results of operations. Such inaccurate or incomplete borrower information could compromise the accuracy of our and the VIE Group’s credit assessment and adversely affect the effectiveness of our and the VIE Group’s risk management, which could in turn harm our and the VIE Group’s reputation, and as a result our and the VIE Group’s business and results of operations could be materially and adversely affected.</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rely on our and the VIE Group’s proprietary credit assessment model in assessing the creditworthiness of our and the VIE Group’s borrowers and the risks associated with loans. If our and the VIE Group’s credit assessment model is flawed or ineffective, or if we and the VIE Group otherwise fail or are perceived to fail to manage the default risks of loans facilitated through our and the VIE Group’s platform, our and the VIE Group’s reputation and market share would be materially and adversely affected, which would severely impact our and the VIE Group’s business and results of operations.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and the VIE Group’s ability to attract funding partners and borrowers to, and build trust in, our and the VIE Group’s platform is significantly dependent on our and the VIE Group’s ability to effectively evaluate borrowers’ credit profiles and likelihood of default. To conduct this evaluation, we and the VIE Group utilize our and the VIE Group’s proprietary and open credit assessment model, which is built based on data collected through various channels and strengthened by our and the VIE Group’s sophisticated artificial intelligence and advanced machine learning techniques. Our and the VIE Group’s credit assessment model conducts in-depth anti-fraud and delinquency history analysis of the borrowers, assigns the borrowers a credit score based on their risk profile. However, our and the VIE Group’s credit assessment model may not effectively assess the credit risk of the borrower or predict future delinquency rate and loan losses. If we and the VIE Group are unable to effectively classify borrowers into the relative risk categories, We and the VIE Group may be unable to effectively manage the default risks of loans facilitated through our and the VIE Group’s platform, which may adversely affect our and the VIE Group’s ability to accurately account for risks related to such loans. Although the institutional funding partners on our and the VIE Group’s platform have their own risk management systems and our and the VIE Group’s main business is to connect them with borrowers, we and the VIE Group may still be subject to liabilities because of borrowers’ defaults.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if a borrower’s financial condition worsens after his or her loan application is approved, we and the VIE Group may not be able to take measures to prevent default on the part of the borrower and thereby maintain a reasonably low default rate for loans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facilitated through our and the VIE Group’s platform. Our and the VIE Group’s credit assessment model may not be able to timely and accurately adjust down the credit rating assigned to a borrower if such borrower’s creditworthiness deteriorates. In addition, certain line items on our and the VIE Group’s financial statements, including allowance for uncollectible receivables, contract assets, prepaid expenses and other current assets and others, are and were recorded based on the default rate that we and the VIE Group estimate. Since our and the VIE Group’s estimate of the risks might be inaccurate, our and the VIE Group’s consolidated financial statements may be materially misstated.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and the VIE Group continuously refine the algorithms, data processing and machine learning used by our and the VIE Group’s credit assessment model to reduce the likelihood of misclassifying borrower, our and the VIE Group’s approval process could be negatively affected if any of these decision-making and scoring systems contain programming or other errors, are ineffective or the data provided by borrowers or third parties are incorrect or stale. If any of the foregoing were to occur in the future, borrowers may reduce the use of our and the VIE Group’s platform for financing, and our and the VIE Group’s reputation and market share would be materially and adversely affected, which would severely impact our and the VIE Group’s business and results of operations.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have obligations to verify information relating to borrowers and detecting fraud. If we and the VIE Group fail to perform such obligations to meet the requirements of relevant laws and regulations, we and the VIE Group may be subject to liabilities. Our and the VIE Group’s reputation may be harmed if information supplied by borrowers is inaccurate, misleading or incomplete.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and the VIE Group’s business of connecting funding partners and borrowers constitutes an intermediary service, and our and the VIE Group’s contracts with funding partners and/or borrowers are intermediation contracts under the Civil Code. Under the Civil Code, an intermediary that intentionally conceals any material information or provides false information in connection with the conclusion of an intermediation contract which results in harm to the client’s interests may not claim any service fee for its intermediary services, and is liable for any damage incurred by the client. Therefore, if we and the VIE Group fail to provide material information to funding partners and are found to be at fault for our and the VIE Group’s failure or deemed failure to exercise proper care to conduct adequate information verification or supervision, we and the VIE Group could be subject to liabilities as an intermediary under the Civil Code. Furthermore, if we and the VIE Group fail to complete our and the VIE Group’s obligations under the agreements with institutional funding partners and borrowers, we and the VIE Group could also be held liable for damages caused to borrowers or institutional funding partners pursuant to the Civil Code. We and the VIE Group leverage a large database of fraudulent account information and sophisticated rule-based detection technology to detect fraudulent behaviors. We and the VIE Group update our and the VIE Group’s database on a daily basis based on new data collected and fraudulent behavior detected during the ordinary course of our and the VIE Group’s business operations. Although we and the VIE Group believe that as an online loan facilitation platform, we and the VIE Group should not bear the credit risk for funding partners as long as we and the VIE Group take reasonable measures to detect fraudulent behavior, we and the VIE Group cannot assure you that we and the VIE Group would not be subject to liability if we and the VIE Group fail to detect any fraudulent behavior. Any such liability could materially and adversely affect our and the VIE Group’s results of operations and financial condition.</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do not impose restrictions on borrowers’ use of loans facilitated by our and the VIE Group’s platform or prohibit our and the VIE Group’s borrowers from incurring other debt or impose financial covenants on borrowers during the term of the loan, which will increase the risk of non-payment on our and the VIE Group’s loans.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are faced with the risk that borrowers borrow money by using loan facilitation services provided by us and the VIE Group to pay off loans on other online consumer finance platforms. Subject to credit assessment result, borrowers may take out new loans on our and the VIE Group’s platform to pay off their other existing loans facilitated by others. We and the VIE Group also do not prohibit our and the VIE Group’s borrowers from incurring additional indebtedness, which may impair the borrower’s ability to observe his or her payment obligations under loan facilitation services on our and the VIE Group’s platform and therefore adversely affect the relevant funding partner’s returns. Although we and the VIE Group take certain measures to monitor our and the VIE Group’s borrowers’ credit records and indebtedness, we and the VIE Group may not be able to effectively prevent the occurrence of such behavior given the practical difficulty in tracking and controlling the usage of borrowed funds and the financial activities of our and the VIE Group’s borrowers.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borrower becomes insolvent or otherwise run into financial distress, any unsecured loan (including those obtained through our and the VIE Group’s platform) will rank pari passu to each other and the borrower may cherry-pick among his or her creditors and our and the VIE Group’s funding partners may suffer losses. For secured loans, the ability of other secured lenders to exercise remedies against the assets of the borrower may impair the borrower’s ability to repay the loan to our and the VIE Group’s funding partners. Funding partners may lose their confidence in us and our and the VIE Group’s reputation and business may be adversely affected.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activities on our and the VIE Group’s platform could negatively impact our and the VIE Group’s operating results, brand and reputation and cause the use of our and the VIE Group’s loan facilitation services to decrease.</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are subject to the risk of fraudulent activities both on our and the VIE Group’s platform, which may be associated with borrowers, funding partners and third parties handling the information of borrowers and funding partners. Our and the VIE Group’s resources, technologies and fraud detection tools may be insufficient to accurately detect and prevent fraud. Significant increases in fraudulent activities could negatively impact our and the VIE Group’s brand and reputation, result in losses suffered by the funding partners, reduce the volume of loans facilitated through our and the VIE Group’s platform and lead us to take additional steps to reduce fraud risk, which could increase our and the VIE Group’s costs and expenses. High profile fraudulent activities could even lead to regulatory intervention and litigation, and may divert our and the VIE Group’s management’s attention and cause us to incur additional expenses and costs. If any of the foregoing were to occur, our and the VIE Group’s results of operations and financial condition could be materially and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and the VIE Group’s risk management system comprising our and the VIE Group’s policy framework, credit assessment and fraud detection technology and modules may not be adequate, which may adversely affect the reliability of our and the VIE Group’s platform, and in turn damage our and the VIE Group’s reputation, business and results of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and the VIE Group’s online platform relies heavily on our and the VIE Group’s ability to detect, assess and control credit risk, and therefore to prevent fraud. Despite the measures we and the VIE Group take to assess and manage risk, the information and data we and the VIE Group utilize may not be sufficient to allow us to adequately capture a borrower applicant’s credit risk. Such information and data include, among others, demographic information, credit history with us and with other financial institutions, and blacklists maintained by other forums and organizations. We and the VIE Group constantly update and optimize our and the VIE Group’s risk management system, but the system may have loopholes or defects which may prevent us from effectively identifying risks, or the data provided may be inaccurate or stale or insufficient, such that we and the VIE Group may misjudge the risk and misalign the risk profile. The information may also not be sufficient for prediction of future non-payment. Such risks and errors may erode funding partner confidence in our and the VIE Group’s platform and therefore harm our and the VIE Group’s reputation and adversely affect our and the VIE Group’s business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period results can vary significantly due to a host of variables and therefore interim period results of our and the VIE Group’s performance may not accurately indicate future performance.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and the VIE Group’s interim period results of operations, including operating revenue, expenses, the number of loans and other key performance indicators, may fluctuate significantly such that comparisons of our and the VIE Group’s operating results period-on-period may not be meaningful. Results of any interim period cannot fully indicate future performance. Fluctuations may be due to any number of variables, including some beyond our and the VIE Group’s control, such as:</w:t>
      </w:r>
    </w:p>
    <w:p>
      <w:pPr>
        <w:spacing w:after="0" w:line="180"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 Group’s ability to grow our and the VIE Group’s users base by attracting new and retaining repeat borrowers;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quality of the loans we and the VIE Group facilitated and the acquisition of funding partners and borrowers;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operating expenses in the acquisition of funding partners and borrowers, the growth and maintenance of our and the VIE Group’s business, operations and infrastructure and the timing;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telecommunications network or security breaches;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and socio-political factors affecting the market and industry, particularly with respect to interest rates, consumer spending and levels of disposable income;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and the VIE Group’s loan facilitation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the VIE Group’s strategy with a focus on long-term growth instead of immediate profitability;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incurring of expenses related to acquisitions activities of businesses or technologies and potential future charges for impairment of goodwill, if 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Fluctuations in our and the VIE Group’s interim period results may affect the price of our ADSs in an adverse manner.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Our and the VIE Group’s failure to compete effectively could adversely affect our and the VIE Group’s results of operations and market share.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online consumer finance market is an evolving industry in China. We and the VIE Group face competition from other online consumer finance platforms, online platforms that engage in online loan facilitation and traditional financial institutions. We and the VIE Group compete with other online platforms that engage in online lending businesses for borrowers. We and the VIE Group also compete with traditional financial institutions, including credit card issuers, online consumer finance business units in commercial banks and other online consumer finance companies.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and the VIE Group’s competitors operate with different business models, have different cost structures or participate selectively in different market segments. They may ultimately prove more successful or more adaptable to new regulatory, technological and other developments. Some of our and the VIE Group’s current and potential competitors have significantly more financial, technical, marketing and other resources than we and the VIE Group do and may be able to devote greater resources to the development, promotion, sale and support of their platforms. Our and the VIE Group’s competitors may also have more extensive borrower or funding partner bases, greater brand recognition and brand loyalty and broader partner relationships than us. Additionally, a current or potential competitor may acquire one or more of our and the VIE Group’s existing competitors or form a strategic alliance with one or more of our and the VIE Group’s competitors. Any of the foregoing could adversely affect our and the VIE Group’s business, results of operations, financial condition and future growth.</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and the VIE Group’s competitors may be better at developing new products, or responding faster to new technologies. When new competitors seek to enter our and the VIE Group’s target market, or when existing market participants seek to increase their market share, they sometimes undercut the pricing and/or terms prevalent in that market, which could adversely affect our and the VIE Group’s market share or ability to exploit new market opportunities. Also, since the online consumer finance industry in China is evolving, potential funding partners and borrowers may not fully understand how our and the VIE Group’s platform works and may not be able to fully appreciate the additional customer protections and features that we and the VIE Group have invested in and adopted on our and the VIE Group’s platform as compared to others. Our and the VIE Group’s pricing and terms could deteriorate if we and the VIE Group fail to act to meet these competitive challenges. Furthermore, to the extent that our and the VIE Group’s competitors are able to offer more attractive terms to our and the VIE Group’s business partners, such business partners may choose to terminate their relationships with us. If we and the VIE Group are unable to compete with such companies and meet the need for innovation in our and the VIE Group’s industry, the demand for our and the VIE Group’s platform could stagnate or substantially decline, we and the VIE Group could experience reduced revenues and our and the VIE Group’s platform could fail to achieve or maintain more widespread market acceptance, any of which could harm our and the VIE Group’s business and results of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VIE Group fail to promote and maintain our and the VIE Group’s brand in a cost-efficient way, our and the VIE Group’s business and results of operations may be harmed.</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the VIE Group believe that developing and maintaining awareness of our and the VIE Group’s brand effectively is critical to attracting new and retaining existing funding partners and borrowers to our and the VIE Group’s platform. This depends largely on the effectiveness of our and the VIE Group’s marketing efforts and the success of the channels we and the VIE Group use to promote our and the VIE Group’s platform. If any of our and the VIE Group’s current marketing channels become less effective, if we and the VIE Group are unable to continue to use any of these channels, or if the cost of using these channels were to significantly increase or if we and the VIE Group are not successful in generating new channels, we and the VIE Group may not be able to attract new funding partners and borrowers in a cost-effective manner or convert potential funding partners and borrowers into active funding partners and borrowers on our and the VIE Group’s platform.</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have incurred expenses on a variety of brand promotion and borrower and online investor acquisition efforts designed to enhance our and the VIE Group’s brand recognition and increase the number of borrowers and online investors on our and the VIE Group’s platform. The costs of any such branding and marketing activities are likely to be considerable. These efforts may not result in increased revenues in the immediate future or at all and, even if they do, any increases in revenues may not offset the expenses incurred. If we and the VIE Group fail to successfully promote and maintain our and the VIE Group’s brand and increase revenues while incurring substantial expenses, our and the VIE Group’s results of operations and financial condition would be adversely affected, which may impair our and the VIE Group’s ability to grow our and the VIE Group’s business.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Our and the VIE Group’s fee rates may decline in the future.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generate a substantial majority of our and the VIE Group’s total revenues from service fees we and the VIE Group receive from our and the VIE Group’s institutional funding partners and guarantors. These fee rates may be affected by the loan volume and quality we and the VIE Group facilitated, the macroeconomic factors as well as the competition in the online consumer finance industry. We and the VIE Group may be unable to offer attractive service fee rates while driving the growth and profitability of our and the VIE Group’s business. Furthermore, our and the VIE Group’s competitors may lower their fee rates in an effort to lure funding partners away from us. If we and the VIE Group reduce our and the VIE Group’s fee rates in order to compete more effectively, the profitability of our and the VIE Group’s business could be adversely affected. If we and the VIE Group do not reduce our and the VIE Group’s fee rates, funding partners may leave our and the VIE Group’s platform, and the total service fees we and the VIE Group receive may decline. Any material decline in our and the VIE Group’s fee rates or the fees we and the VIE Group receive could have a material adverse effect on our and the VIE Group’s business, results of operations and financial condition.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efforts of our senior management. If one or more of our key executives were unable or unwilling to continue in their present positions, our business may be severely disrupted.</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depend on the continued services of our senior management, particularly the executive officers named in this annual report. While we have provided different incentives to our management, we cannot assure you that we can continue to retain their services. There have been departures of our senior management members in the past and we cannot assure you that our existing senior management members will not terminate their employment with us in the future.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although we have entered into confidentiality and non-competition agreements with our management, there is no assurance that any member of our management team will not join our competitors or form a competing business. If any dispute arises between our current or former officers and us, we may have to incur substantial costs and expenses in order to enforce such agreements in China or we may be unable to enforce them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on our platform.</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could also be adversely affected by the effects of coronavirus (including COVID-19), Ebola virus disease, Zika virus disease, H1N1 flu, H7N9 flu, avian flu, Severe Acute Respiratory Syndrome, or SARS, or other epidemics. Our business operations could be disrupted if any of our employees is suspected of having coronavirus, Ebola virus disease, Zika virus disease, H1N1 flu, H7N9 flu, avian flu, SARS or other epidemic, since it could require our employees to be quarantined and/or our offices to be disinfected.</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headquarters are located in Shanghai, where most of our directors and management and a large majority of our employees currently reside. In addition, most of our system hardware and back-up systems are hosted in leased facilities located in Shanghai. Consequently, if any of the abovementioned natural disasters, health epidemics or other outbreaks were to occur in Shanghai or other locations where we operate in, our operation may experience material disruptions, such as temporary closure of our offices and suspension of services, which may materially and adversely affect our business, financial condition and results of operations.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 could also be disrupted if any of our employees are suspected of having contracted any contagious disease or condition, since it could require our employees to be quarantined or our offices to be closed down and disinfected. All of these would have a material adverse effect on our results of operations and financial condition in the near terms. Additionally, if the outbreak persists or escalates, we may be subject to further negative impact on our business operations and financial condition. Our operation could also be severely disrupted if our users or business partners were affected by such natural disasters or health epidemics.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function by our and the VIE Group’s employees and third-party service providers could harm our and the VIE Group’s business and reputation.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are exposed to many types of operational risks, including the risk of misconduct and errors by our and the VIE Group’s employees and third-party service providers. Our and the VIE Group’s business depends on our and the VIE Group’s employees and third-party service providers to interact with potential funding partners and borrowers, process large numbers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and support the loan collection process, all of which involve the use and disclosure of personal information. We and the VIE Group could be materially adversely affected if transactions were redirected, misappropriated or otherwise improperly executed, if personal information was disclosed to unintended recipients or if an operational breakdown or failure in the processing of transactions occurred, whether as a result of human error, purposeful sabotage or fraudulent manipulation of our and the VIE Group’s operations or systems. In addition, the manner in which we and the VIE Group store and use certain personal information and interact with funding partners and borrowers through our and the VIE Group’s platform is governed by various PRC laws. It is not always possible to identify and deter misconduct or errors by employees or third-party service providers, and the precautions we and the VIE Group take to detect and prevent this activity may not be effective in controlling unknown or unmanaged risks or losses. If any of our and the VIE Group’s employees or third-party service providers take, convert or misuse funds, documents or data or fail to follow protocol when interacting with funding partners and borrowers, we and the VIE Group could be liable for damages and be subject to regulatory actions and penalties. We and the VIE Group could also be perceived to have facilitated or participated in the illegal misappropriation of funds, documents or data, or the failure to follow protocol, and therefore be subject to civil or criminal liability. In addition to our and the VIE Group’s own collecting team, we and the VIE Group also use certain third-party service providers for loan collection services. Aggressive practices or misconduct by any of our and the VIE Group’s third-party service providers in the course of collecting loans could damage our and the VIE Group’s reputation.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Cyber-attacks, computer viruses, physical or electronic break-ins or similar disruptions of us and the VIE Group or of a third-party, including events beyond our and the VIE Group’s control, could result in disclosure or misuse of confidential information and misappropriation of funds of our and the VIE Group’s funding partners and borrowers, subject us to liabilities, reduce the attractiveness of our and the VIE Group’s platform and cause reputational harm and adversely impact our and the VIE Group’s results of operations and financial condition.</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and the VIE Group’s platform collects, stores and processes certain personal and other sensitive data from our and the VIE Group’s funding partners and borrowers. The massive data that we and the VIE Group have processed and stored makes us or third-party service providers who host our and the VIE Group’s servers a target and potentially vulnerable to cyber-attacks, computer viruses, physical or electronic break-ins or similar disruptions. While we and the VIE Group have taken steps to protect the confidential information that we and the VIE Group have access to, our and the VIE Group’s security measures could be breached. Because techniques used to sabotage or obtain unauthorized access to systems change frequently and generally are not recognized until they are launched against a target, we and the VIE Group may be unable to anticipate these techniques or to implement adequate preventative measures. Any accidental or willful security breaches or other unauthorized access to our and the VIE Group’s platform could cause confidential borrower and funding partner information to be stolen and used for criminal purposes. As personally identifiable and other confidential information is increasingly subject to legislation and regulations in numerous domestic and international jurisdictions, any inability to protect confidential information of our and the VIE Group’s funding partners and borrowers could result in additional cost and liability for us, damage our and the VIE Group’s reputation, inhibit the use of our and the VIE Group’s platform and harm our and the VIE Group’s business.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also face indirect technology, cybersecurity and operational risks relating to the third parties whom we and the VIE Group work with to facilitate or enable our and the VIE Group’s business activities, including, among others, third-party online payment service providers who manage accounts for certain borrower and funding partner funds and external cloud service provider. As a result of increasing consolidation and interdependence of technology systems, a technology failure, cyber-attack or other information or security breach that significantly compromises the systems of one entity could have a material impact on its counterparties. Any cyber-attack, computer viruses, physical or electronic break-ins or similar disruptions of such third-party payment service providers could, among other things, adversely affect our and the VIE Group’s ability to serve our and the VIE Group’s users, and could even result in misappropriation of funds of our and the VIE Group’s funding partners and borrowers. If that were to occur, both we and the VIE Group and third-party payment service providers could be held liable to funding partners and borrowers who suffer losses from the misappropriation.</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Security breaches or unauthorized access to confidential information could also expose us to liability related to the loss of the information, time-consuming and expensive litigation and negative publicity. If security measures are breached because of third-party action, employee error, malfeasance or otherwise, or if design flaws in our and the VIE Group’s technology infrastructure are exposed and exploited, our and the VIE Group’s relationships with funding partners and borrowers could be severely damaged, we and the VIE Group could incur significant liability and our and the VIE Group’s business and operations could be adversely affected.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and the VIE Group are unable to protect the confidential information of our and the VIE Group’s users and adapt to the relevant regulatory framework regarding protection of such information, our and the VIE Group’s business and operations may be adversely affected.</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PRC government authorities have enacted a series of laws and regulations on the protection of personal information, under which Internet service providers and other network operators are required to comply with the principles of legality, justification and necessity, to clearly indicate the purposes, methods and scope of any information collection and usage, and to obtain the consent of users, as well as to establish a user information protection system with appropriate remedial measures. We and the VIE Group have obtained written consent from our and the VIE Group’s users to use their personal information within the scope of authorization and we and the VIE Group have taken technical measures to ensure the security of such personal information and to prevent any loss or divergence of personal information from. However, it remains to be observed as to the interpretation and application of such laws. If such laws or regulations are to be interpreted and applied in a manner inconsistent with our and the VIE Group’s current policies and practices, changes to the features of our and the VIE Group’s system may be required and additional costs may be incurred. We and the VIE Group cannot assure you that our and the VIE Group’s existing user information protection system and technical measures will be considered sufficient under applicable laws and regulations. If we and the VIE Group are unable to address any information protection concerns, or to comply with the then applicable laws and regulations, we and the VIE Group may incur additional costs and liability and our and the VIE Group’s reputation, business and operations might be adversely affected. See ‘‘Item 4. Information on the Company—B. Business Overview—Regulation—Regulations Relating to Internet Companies—Regulations on Privacy Protection’’ for more details.</w:t>
      </w:r>
    </w:p>
    <w:p>
      <w:pPr>
        <w:spacing w:after="0" w:line="187"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8"/>
          <w:szCs w:val="18"/>
          <w:color w:val="auto"/>
        </w:rPr>
        <w:t>The Cyber Security Law of the PRC became effective on June 1, 2017 and was amended on October 28, 2025 which became effective on January 1, 2026. The law requires network products and services providers as we and the VIE Group are, among other things, to strictly preserve the secrecy of user information they collect and to store within Chinese Mainland data that is gathered or produced by such network products and services provider in the country. If we and the VIE Group are deemed to have violated the law, potential penalties include, depending on the nature of violation, forced shut down of our and the VIE Group’s websites, revocation of business licenses, freezing of assets, and fines imposed on the company ranging from approximately RMB10,000 to RMB1 million or management personnel ranging from approximately RMB5,000 to RMB1 million.</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and the VIE Group are found to have violated the Cyber Security Law of the PRC in a government enforcement action, we and the VIE Group may face severe penalties that may result in monetary losses, losses of access to assets essential for daily operation of our and the VIE Group’s business or for the continuance of service provision, and temporary or total disruption of our and the VIE Group’s business for an extended period of time. In addition, the finding of a violation of the Cyber Security Law of the PRC, even if later repealed, may cause damages to our and the VIE Group’s reputation and our and the VIE Group’s brand name, causing users to lose confidence in our and the VIE Group’s service and to refrain from choosing or continuing to use our and the VIE Group’s products and services. All of these consequences may have a material adverse impact on our and the VIE Group’s business,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 stringent reporting obligation imposed by the Cyber Security Law of the PRC itself, without a finding of violation, may have a material adverse impact on our and the VIE Group’s business and results of operations. As we and the VIE Group are obligated by the law to inform our and the VIE Group’s users of any security flaw or vulnerability as they are discovered, users may become wary of the existence or frequency of such reports and lose confidence in the security of our and the VIE Group’s system, and thus may be discouraged from choosing or continuing to use our and the VIE Group’s services, even if the security flaws or vulnerabilities are readily fixable and can be easily overcome.</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Personal Information Security Specification came into force in May 2018, and the final amended version of it came into force on October 1, 2020. Although the Personal Information Security Specification is not yet a mandatory regulation, it nonetheless has a key implementing role under China’s Cyber Security Law with respect to protecting personal information in China. Furthermore, it is likely that the Personal Information Security Specification will be relied on by Chinese government agencies as a standard to determine whether businesses have abided by China’s data protection rules. Meanwhile, under the Personal Information Security Specification, the data controller must provide the purpose of collecting and using personal information, as well as the business functions of such purpose, and the Personal Information Security Specification requires the data controller to distinguish its core function from additional functions to ensure the data controller will only collect personal information as needed.</w:t>
      </w:r>
    </w:p>
    <w:p>
      <w:pPr>
        <w:spacing w:after="0" w:line="18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on June 10, 2021, the Standing Committee of the National People’s Congress, or the SCNPC, promulgated the PRC Data Security Law, which took effect in September 2021. The Data Security Law provides for a security review procedure for the data activities that may affect national security. On August 20, 2021, the SCNPC issued the Personal Information Protection Law, effective since November 1, 2021, which reiterates the circumstances under which a personal information processor could process personal information and the requirements for such circumstances. The Personal Information Protection Law clarifies the scope of application, the definition of personal information and sensitive personal information, the legal basis of personal information processing and the basic requirements of notice and consent. On December 28, 2021, the CAC published the Measures for Cybersecurity Review, which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took effect on January 15, 2022 and further restates and expands the applicable scope of the cybersecurity review. Pursuant to the Measures for Cybersecurity Review, critical information infrastructure operators that intend to purchase internet products and services and online platform operators engaging in data processing activities that affect or may affect national security must be subject to the cybersecurity review. On September 30, 2024, the State Council released the Network Data Regulation, which came into force on January 1, 2025. The Network Data Regulation is not only the first at the administrative regulation level specifically for network data security, but it also serves as a comprehensive implementing regulation for the compliance requirements set out by the Cyber Security Law, the Data Security Law, and Personal Information Protection Law.</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relevant regulatory authorities in China continue to monitor websites and apps in relation to the protection of personal data, privacy and information security, and may impose additional requirements from time to time. We and the VIE Group believe that we and the VIE Group have conformed our and the VIE Group’s practices in line with current requirements. However, we and the VIE Group cannot assure that our and the VIE Group’s existing user information protection system and technical measures will be considered sufficient under all applicable laws and regulations. There are uncertainties as to the interpretation and application of laws in one jurisdiction which may be interpreted and applied in a manner inconsistent to another jurisdiction and may conflict with our and the VIE Group’s current policies and practices or require changes to the features of our and the VIE Group’s system. If we and the VIE Group are unable to address any information protection concerns, any compromise of security that results unauthorized disclosure or transfer of personal data, or to comply with the then applicable laws and regulations, we and the VIE Group may incur additional costs and liability and result in governmental enforcement actions, litigation, fines and penalties or adverse publicity and could cause our and the VIE Group’s users to lose trust in us, which could have a material adverse effect on our and the VIE Group’s business, results of operations, financial condition and prospects.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trend of tightening regulations on protection of data security also appear in other jurisdictions. For example, in May 2018, a new data protection regime, the European Union’s General Data Protection Regulation became applicable; the General Data Protection Regulation can apply to the processing of personal data by companies outside of the European Union, including where the processing of personal data relates to the offering of goods and services to, or monitoring the behavior of, individuals in the European Union. The General Data Protection Regulation and data protection laws in other jurisdictions may apply to our and the VIE Group’s processing of personal data in the future. The application of these laws to our and the VIE Group’s business would impose on us more stringent compliance requirements with more significant penalties for non-compliance than PRC data protection laws and regulations, and our and the VIE Group’s compliance with such requirements could require significant resources and result in substantial costs, which may materially and adversely affect our and the VIE Group’s business, financial condition, results of operations and prospects.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the VIE Group collect, process and store personal information concerning our and the VIE Group’s borrowers, as well as personal information pertaining to our and the VIE Group’s business partners and employees. Compliance with applicable personal information and information security laws and regulations is a rigorous and time-intensive process. As global information protection laws and regulations increase in number and complexity, we and the VIE Group cannot assure you that our and the VIE Group’s information protection systems will be considered sufficient under all applicable laws and regulations. Furthermore, we and the VIE Group cannot assure you that the information we and the VIE Group receive from our and the VIE Group’s third-party data partners are obtained and transmitted to us in full compliance with relevant laws and regulations. Moreover, there could be new laws, regulations or industry standards that require us to change our and the VIE Group’s business practices and privacy policies, and we and the VIE Group may also be required to put in place additional mechanisms ensuring compliance with new information protection laws, all of which may increase our and the VIE Group’s costs and materially harm our and the VIE Group’s business, prospects, financial condition and results of operations. Any failure or perceived failure by us to comply with applicable laws and regulations could result in reputational damage or proceedings or actions against us by governmental entities, individuals or others. These proceedings or actions could subject us to significant civil or criminal penalties and negative publicity, result in the delayed or halted processing of personal information that we and the VIE Group need to undertake to carry on our and the VIE Group’s business, as well as the forced transfer or confiscation of certain personal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our and the VIE Group’s third-party service providers or institutional funding partners to comply with applicable anti-money laundering and anti-terrorism financing laws and regulations could damage our and the VIE Group’s reputation.</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Currently, we and the VIE Group rely on our and the VIE Group’s third-party service providers, in particular payment companies that handle the transfer of funds between borrowers and lenders, to have their own appropriate anti-money laundering policies and procedures. For institutional funding partners, they generally transfer the funds to borrowers directly. The payment companies and our and the VIE Group’s institutional funding partners are subject to anti-money laundering obligations under applicable anti-money laundering laws and regulations and are regulated in that respect by the People’s Bank of China. If any of our and the VIE Group’s third-party service providers or institutional funding partners fails to comply with applicable anti-money laundering laws and regulations, our and the VIE Group’s reputation could suffer and we and the VIE Group could become subject to regulatory intervention, which could have a material adverse effect on our and the VIE Group’s business, financial condition and results of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and the VIE Group’s platform is subject to anti-money laundering and anti-terrorism financing in PRC and other jurisdictions where we and the VIE Group operate. While we and the VIE Group are in the process of formulating policies and procedures, including internal controls and “know-your-customer” procedures, aimed at preventing money laundering and terrorism financing, we and the VIE Group cannot assure you that we and the VIE Group will be able to establish and maintain effective anti-money laundering and anti-terrorism financing policies and procedures to protect our and the VIE Group’s platform from being exploited for money laundering or terrorism financing purposes or that such policies and procedures, if adopted, will be deemed to be in compliance with applicable anti-money laundering and anti-terrorism financing laws and regulations.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the VIE Group have not been subject to fines or other penalties, or suffered business or other reputational harm, as a result of actual or alleged money laundering or terrorist financing activities in the past. However, our and the VIE Group’s policies and procedures may not be completely effective in preventing other parties from using us, any of our and the VIE Group’s users or third-party partners as a conduit for money laundering (including illegal cash operations), terrorist financing or sanctioned activities without our and the VIE Group’s knowledge. If we and the VIE Group were to be associated with money laundering (including illegal cash operations), terrorist financing or sanctioned activities, our and the VIE Group’s reputation could suffer and we and the VIE Group could become subject to regulatory fines, sanctions, or legal enforcement, including being added to any “blacklists” that would prohibit certain parties from engaging in transactions with us, all of which could have a material adverse effect on our and the VIE Group’s financial condition and results of operations. In addition, the laws and regulations on anti-money laundering and anti-terrorist financing might be tightened in the future, which may impose more obligations on us and our and the VIE Group’s users and third-party partners. Even if we, our and the VIE Group’s users and business partners comply with the applicable domestic and overseas anti-money laundering laws and regulations, we and the VIE Group may not be able to fully eliminate money laundering and other illegal or improper activities in light of the complexity and the secrecy of these activities.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are subject to credit risks and concentration of credit risks associated with our accounts receivable, contract assets, financial assets receivables and prepaid expenses and other current assets.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the VIE Group have a material balance of accounts receivable and contract assets as well as financial assets receivable and prepaid expenses and other current assets. We and the VIE Group have established an allowance for uncollectible receivables and contract assets, uncollectible receivable and contract assets , financial assets receivables and prepaid expenses and other current assets based on estimates, which incorporates historical delinquency rate by vintage, specific risk characteristics for borrowers from various channels and other factors surrounding the credit risk of specific underlying loan portfolio. We evaluate and adjust our allowance for uncollectible receivable and contract assets, financial assets receivables and prepaid expenses and other current assets on a quarterly basis or more often as necessary. The related expenses are recorded as “allowance for accounts receivable and contract assets,” “allowance for financial assets receivable” and “allowance for prepaid expenses and other current assets.”. While our allowance takes into account historical and other objective information, it is also dependent on our subjective assessment based upon our estimates and judgment. In addition, we also face concentration on credit risks associated with our business. Actual credit risk is difficult to forecast, especially if such risks stem from factors beyond our historical experience, especially unforeseen risk with no historical comparable. If there is a significant rise in delinquency rate, which was impacted by a number of factors some of which are beyond our control, including the macroeconomic condition of China and the development of the Credit-Tech industry, or our allowances are insufficient to cover the credit loss, our business, results of operations and financial condition would be materially and adversely impacted.</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over financial reporting, we may be unable to accurately report our results of operations, meet our reporting obligations or prevent fraud.</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public company in the United State subject to reporting obligations under the U.S. securities laws. Among other things, the Securities and Exchange Commission, or the SEC, as required by Section 404 of the Sarbanes-Oxley Act of 2002, or Section 404, adopted rules requiring every public company, including us, to include a management report on the company’s internal control over financial reporting in its annual report, which contains management’s assessment of the effectiveness of the company’s internal control over financial reporting. We are required to include such report in our annual report on Form 20-F starting from the fiscal year ended December 31, 2020. In addition, as we ceased to be an “emerging growth company” for the fiscal year ending December 31, 2024, such term is defined in the Jumpstart Our Business Startups Act of 2012 (as amended by the Fixing America’s Surface Transportation Act of 2015), or the JOBS Act, our independent registered public accounting firm is required to attest to and report on the effectiveness of our internal control over financial reporting.</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management and our independent registered public accounting firm, which has issued an attestation report, have concluded that our internal control over financial reporting was effective as of December 31, 2025. See “Item 15. Controls and Procedures”.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However, in the future we may determine that we have material weaknesses, or our independent registered public accounting firm may disagree with our management assessment of the effectiveness of our internal controls. Our failure to correct the material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weaknesses and control deficiencies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significantly hinders our ability to prevent fraud.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purchase of certain commercial property has placed and may continue to place constraints on our cash position and liquidity, and any future decline in value of such property could materially and adversely affect our results of operation.</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17, 2024, we entered into a definitive agreement to purchase certain commercial property located in Shanghai, China (the “Commercial Property”) of approximately 43,500 square meters for total cash consideration of approximately RMB1.35 billion. In March 2025, we paid all consideration for, and obtained title to, the Commercial Property. The Commercial Property will primarily be used as our new headquarters to meet the demand arising from the continuing growth of our businesses. As we paid the purchase price using cash on hand, the purchase of the Commercial Property has and may continue to place constraints on our cash and liquidity, which may limit our ability to deploy capital for other strategic initiatives to drive our business growth. If the Commercial Property does not generate expected financial or strategic benefits over time, the return on our investment may be lower than anticipated, which could negatively impact shareholder value.</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Commercial Property may decline in value and accordingly may be subject to significant impairment losses. We evaluate the Commercial Property for impairment on a periodic basis based on events and changes in circumstances that may impact the carrying amounts of such property. If we determine that the fair value of the Commercial Property is less than its carrying value, we may need to adjust the value of such property and recognize an impairment loss, in which case our results of operation may be materially and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Borrower growth and activity on mobile devices depend upon effective use of mobile operating system, networks and standards, which we and the VIE Group do not control.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and the VIE Group’s loan facilitation services are mostly offered through mobile apps. As new mobile devices and platforms are released, it is difficult to predict the problems we and the VIE Group may encounter in developing applications for these new devices and platforms, and we and the VIE Group may need to devote significant resources to the development, support and maintenance of such applications. In addition, our and the VIE Group’s future growth and our and the VIE Group’s results of operations could suffer if we and the VIE Group experience difficulties in the future in integrating our and the VIE Group’s loan facilitation services into mobile devices or if problems arise with our and the VIE Group’s relationships with providers of mobile operating systems or mobile app stores, or if we and the VIE Group face increased costs to distribute or have users utilize our and the VIE Group’s loan facilitation services on mobile devices. We and the VIE Group are further dependent on the interoperability of providing our and the VIE Group’s loan facilitation services on popular mobile operating systems that we and the VIE Group do not control, such as iOS and Android, and any changes in such systems that degrade the accessibility of our and the VIE Group’s loan facilitation services or give preferential treatment to competing products could adversely affect the usability of our and the VIE Group’s services on mobile devices. In the event that it is more difficult for our and the VIE Group’s users to access and utilize our and the VIE Group’s loan facilitation services on their mobile devices, or if our and the VIE Group’s users choose not to access or utilize our and the VIE Group’s loan facilitation services on their mobile devices or to use mobile operating systems that do not offer access to our and the VIE Group’s loan facilitation services, our and the VIE Group’s user growth could be harmed and our and the VIE Group’s business, financial condition and operating results may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and the VIE Group’s operations depend on the performance of the Internet infrastructure and telecommunications networks in China.</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MIIT. We and the VIE Group primarily rely on a limited number of telecommunication service providers to provide us with data communications capacity through local telecommunications lines and Internet data centers to host our and the VIE Group’s servers. We and the VIE Group have limited access to alternative networks or services in the event of disruptions, failures or other problems with China’s Internet infrastructure or the fixed telecommunications networks provided by telecommunication service providers. With the expansion of our and the VIE Group’s business, we and the VIE Group may be required to upgrade our and the VIE Group’s technology and infrastructure to keep up with the increasing traffic on our and the VIE Group’s platform. We and the VIE Group cannot assure you that the Internet infrastructure and the fixed telecommunications networks in China will be able to support the demands associated with the continued growth in Internet usage.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and the VIE Group have no control over the costs of the services provided by telecommunication service providers. If the prices we and the VIE Group pay for telecommunications and Internet services rise significantly, our and the VIE Group’s results of operations may be adversely affected. Furthermore, if Internet access fees or other charges to Internet users increase, our and the VIE Group’s user traffic may decline and our and the VIE Group’s business may be harmed.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and the VIE Group’s platform and internal systems rely on software that is highly technical, and if it contains undetected errors, our and the VIE Group’s business could be adversely affected.</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and the VIE Group’s platform and internal systems rely on software that is highly technical and complex. In addition, our and the VIE Group’s platform and internal systems depend on the ability of such software to store, retrieve, process and manage immense amounts of data. In particular, we and the VIE Group used to open credit assessment platforms to these expert consultants, where they have access to a limited amount of desensitized, grouped and tagged borrower data, based on which they used such data to develop their own credit assessment models. The software on which we and the VIE Group rely may have contained, and may now or in the future contain, undetected errors or bugs. Some errors may only be discovered after the code has been released for external or internal use. Errors or other design defects within the software on which we and the VIE Group rely may result in a negative experience for funding partners and borrowers using our and the VIE Group’s platform, delay introductions of new features or enhancements, result in errors or compromise our and the VIE Group’s ability to protect borrower or funding partner data or our and the VIE Group’s intellectual property. Any errors, bugs or defects discovered in the software on which we and the VIE Group rely could result in harm to our and the VIE Group’s reputation, loss of borrowers or funding partners or liability for damages, any of which could adversely affect our and the VIE Group’s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See also “Item 4. Information on the Company—B. Business Overview— Intellectual Property.” Despite these measures, any of our intellectual property rights could be challenged, invalidated, circumvented or misappropriated, or such intellectual property may not be sufficient to provide us with competitive advantages. In addition,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often difficult to maintain and enforce intellectual property rights.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China, the United States or other jurisdictions. If any third-party infringement claims are brought against us, we may be forced to divert management’s time and other resources from our business and operations to defend against these claims, regardless of their merits. As the date of this annual report, the applications for certain trademarks filed by us are still pending. If we are unable to complete these registrations, we may not be able to prohibit unauthorized use or prevent other infringements of these trademarks. In addition, certain of the trademarks we use for the daily operation or promotion of our business have already been registered by independent third parties outside of our control, and such trademarks are currently subject to administrative or legal proceedings. In the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event that these administrative and legal proceedings are resolved adversely to us, we may be prohibited from using such trademarks and subject to fines and other legal or administrative sanctions, and our business, financial condition and results of operations may be materially and adversely affected.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application and interpretation of China’s intellectual property right laws and the procedures and standards for granting trademarks, patents, copyrights, know-how or other intellectual property rights in China are still evolving, and we cannot assure you that PRC courts or regulatory authorities would agree with our analysis.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may be held liable for information or content displayed on, retrieved from or linked to our and the VIE Group’s mobile applications, which may materially and adversely affect our and the VIE Group’s business and operating results.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and the VIE Group’s website, we and the VIE Group also offer online consumer finance products through our and the VIE Group’s mobile applications, which are regulated by the Administrative Provisions on Mobile Internet Applications Information Services, or the APP Provisions, promulgated by the CAC, on June 28, 2016 and amended on June 14, 2022. According to the APP Provisions, the providers of mobile applications shall not create, copy, publish or distribute information and content that is prohibited by laws and regulations. We and the VIE Group have implemented internal control procedures screening the information and content on our and the VIE Group’s mobile applications to ensure their compliance with the APP Provisions. However, we and the VIE Group cannot assure that all the information or content displayed on, retrieved from or linked to our and the VIE Group’s mobile applications complies with the requirements of the APP Provisions at all times. If our and the VIE Group’s mobile applications were found to be violating the APP Provisions, we and the VIE Group may be subject to administrative penalties, including warning, service suspension or removal of our and the VIE Group’s mobile applications from the relevant mobile application store, which may materially and adversely affect our and the VIE Group’s business and operating results.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claims, controversies, lawsuits and legal proceedings, which could have a material adverse effect on our financial condition, results of operations, cash flows and reputation.</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become subject to or involved in various claims, controversies, lawsuits, and legal proceedings. Claims, lawsuits, and litigations are subject to inherent uncertainties, and we are uncertain whether the foregoing claim would develop into a lawsuit. Lawsuits and litigations may cause us to incur defense costs, utilize a significant portion of our resources and divert management’s attention from our day-to-day operations, any of which could harm our business. Any settlements or judgments against us could have a material adverse impact on our financial condition, results of operations and cash flows. In addition, negative publicity regarding claims or judgments made against us may damage our reputation and may result in a material adverse impact on us.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For example, on September 11, 2020, a securities class action complaint was filed against us and our officers and directors in the Supreme Court of the State of New York, County of New York. An amended complaint was filed on February 1, 2021, which added as defendants the underwriters for our initial public offering. The plaintiff asserted claims under Sections 11 and 15 of the Securities Act of 1933 based on purported misstatements and omissions in Form F-1 registration statement for our initial public offering. The plaintiff brought his claims individually and on behalf of all other persons who acquired our American Depositary Shares pursuant and/or traceable to our initial public offering, and seeks compensatory damages, rescission, injunctive relief, and costs and expenses, including attorneys’ fees and expert fees in unidentified amounts. On August 15, 2022, the Court entered an order of preliminary approval of a settlement in the Action. The Court has approved the settlement and the case has been dismissed. Under the terms of the settlement, we paid an aggregate of US$2.0 million in 2022 as a full and final settlement to resolve all claims that arise out of or relate to the subject matter of the class action as to all parties involved in the action.</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class action suit that we are aware of and if we were involved in a class action suit in the future,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evaluate and potentially consummate strategic investments or acquisitions, which could require significant management attention, disrupt our business and adversely affect our financial results.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evaluate and consider strategic investments, combinations, acquisitions or alliances to further increase the value of our platform and better match funding partners and borrowers. These transactions could be material to our financial condition and results of operations if consummated. If we are able to identify an appropriate business opportunity, we may not be able to successfully consummate the transaction and, even if we do consummate such a transaction, we may be unable to obtain the benefits or avoid the difficulties and risks of such transaction.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Strategic investments or acquisitions will involve risks commonly encountered in business relationships, including:</w:t>
      </w:r>
    </w:p>
    <w:p>
      <w:pPr>
        <w:spacing w:after="0" w:line="225"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and integrating the operations, personnel, systems, data, technologies, rights, platforms, products and services of the acquired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the acquired technologies, products or businesses to achieve expected levels of revenue, profitability, productivity or other benefits;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training, motivating and integrating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resources from our daily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uniform standards, controls, procedures and policies within the combined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relationships with our funding partners and borrowers, employees and suppliers of the acquired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markets in which we have limited or no prior experience;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contractual obligations that contain terms that are not beneficial to us, require us to license or waive intellectual property rights or increase our risk for 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business before the acquisition, including intellectual property infringement claims, violations of laws, commercial disputes, tax liabilities and other known and unknown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our ongoing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unknown risks and liabilities associated with strategic investments or acquisitions.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made certain investments and acquisitions during past years. However, our investments and acquisitions may not be successful, may not benefit our business strategy, may not generate sufficient revenues to offset the associated acquisition costs or may not otherwise result in the intended benefits. In addition, we cannot assure you that any future investment in or acquisition of new businesses or technology will lead to the successful development of new or enhanced loan facilitation services provided by our and the VIE Group’s platform or that any new or enhanced loan facilitation services, if developed, will achieve market acceptance or prove to be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employees is intense, and we may not be able to attract and retain the qualified and skilled employees needed to support our business.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our success depends on the efforts and talent of our employees, including risk management, software engineering, financial and marketing personnel. Our future success depends on our continued ability to attract, develop, motivate and retain qualified and skilled employees. Competition for highly skilled technical, risk management and financial personnel is extremely intense. We may not be able to hire and retain these personnel at compensation levels consistent with our existing compensation and salary structure. Some of the companies with which we compete for experienced employees have greater resources than we have and may be able to offer more attractive terms of employment.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6" w:name="page47"/>
    <w:bookmarkEnd w:id="4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invest significant time and expenses in training our employees, which increases their value to competitors who may seek to recruit them. If we fail to retain our employees, we could incur significant expenses in hiring and training new employees, and the quality of our services and our ability to match funding partners and borrowers could diminish, resulting in a material adverse effect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economy in China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or failure to maintain relationships with our and the VIE Group’s business partners may adversely affect our and the VIE Group’s business and results of operations.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currently work with a number of business partners in various aspects of our and the VIE Group’s business. Pursuing, establishing and maintaining relationships with business partners require significant time and resources as does integrating third-party data and services with our and the VIE Group’s system. Our and the VIE Group’s current agreements with business partners generally do not prohibit them from working with our and the VIE Group’s competitors or from offering competing services. Our and the VIE Group’s competitors may be more effective in providing incentives to our and the VIE Group’s business partners to favor their products or services, which may in turn reduce the volume of loans facilitated through our and the VIE Group’s platform. Certain types of business partners may devote more resources to support their own competing businesses. In addition, these business partners may not perform as expected under our and the VIE Group’s agreements with them, and we and the VIE Group may have disagreements or disputes with them, which could adversely affect our and the VIE Group’s brand and reputation. If we and the VIE Group cannot successfully enter into and maintain effective relationships with business partners, our and the VIE Group’s business will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the VIE Group do not have any business insurance coverage.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and the VIE Group do not have any business liability or disruption insurance to cover our and the VIE Group’s operations. We and the VIE Group have determined that the costs of insuring for these risks and the difficulties associated with acquiring such insurance on commercially reasonable terms make it impractical for us to have such insurance. Any uninsured business disruptions may result in our and the VIE Group’s incurring substantial costs and the diversion of resources, which could have an adverse effect on our and the VIE Group’s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the VIE Group may not be able to obtain additional capital on favorable terms or at all.</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the VIE Group believe our and the VIE Group’s cash and cash equivalents on hand will be sufficient to meet our and the VIE Group’s current and anticipated needs for general corporate purposes. However, we and the VIE Group need to make continued investments in facilities, hardware, software, technological systems and to retain talents to remain competitive. Due to the unpredictable nature of the capital markets and our and the VIE Group’s industry, we and the VIE Group cannot assure you that we and the VIE Group will be able to raise additional capital on terms favorable to us, or at all, if and when required, especially if we and the VIE Group experience disappointing operating results. If adequate capital is not available to us as required, our and the VIE Group’s ability to fund our and the VIE Group’s operations, take advantage of unanticipated opportunities, develop or enhance our and the VIE Group’s infrastructure or respond to competitive pressures could be significantly limited, which would adversely affect our and the VIE Group’s business, financial condition and results of operations. If we and the VIE Group do raise additional funds through the issuance of equity or convertible debt securities, the ownership interests of our and the VIE Group’s shareholders could be significantly diluted. These newly issued securities may have rights, preferences or privileges senior to those of existing shareholders.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aspects of our and the VIE Group’s digital operations include open source software, and any failure to comply with the terms of one or more of these open source licenses could negatively affect our and the VIE Group’s business.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Some aspects of our and the VIE Group’s digital operations include software covered by open source licenses. The terms of various open source licenses have not been interpreted by PRC courts, and there is a risk that such licenses could be construed in a manner that imposes unanticipated conditions or restrictions on our and the VIE Group’s online and mobile-based channels. If portions of our and the VIE Group’s proprietary software are determined to be subject to an open source license, we and the VIE Group could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be required to publicly release the affected portions of our and the VIE Group’s source code, re-engineer all or a portion of our and the VIE Group’s technologies if required so by the license, or otherwise be limited in the licensing of our and the VIE Group’s technologies, each of which could reduce or eliminate the value of our and the VIE Group’s technologies and loan facilitation services. In addition to risks related to license requirements, usage of open source software can lead to greater risks than use of third-party commercial software, as open source licensors generally do not provide warranties or controls on the origin of the software. Many of the risks associated with use of open source software cannot be eliminated, and could adversely affect our and the VIE Group’s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Holding Foreign Companies Accountable Act or the Accelerating Holding Foreign Companies Accountable Act, if it is later determined that the PCAOB is unable to inspect or investigate completely our auditor, and as a result, U.S. national securities exchanges, such as Nasdaq, may determine to delist our securities.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18, 2020, the former U.S. president signed into law the Holding Foreign Companies Accountable Act, or the HFCAA. In essence, the HFCAA requires the SEC to prohibit foreign companies from listing securities on U.S. securities exchanges if a company retains a foreign accounting firm that cannot be inspected by the PCAOB for three consecutive years, beginning in 2021. On March 24, 2021, the SEC adopted interim final rules relating to the implementation of certain disclosure and documentation requirements of the HFCAA. On December 2, 2021, the SEC adopted amendments to finalize rules implementing the submission and disclosure requirements in the HFCAA which will go into effect 30 days after publication in the Federal Registrar. The SEC may propose additional rules or guidance that could impact us if our auditor is not subject to PCAOB inspection.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29, 2022, the Consolidated Appropriations Act, 2023 was signed into law, which, among others, amended the HFCAA to reduce the number of consecutive years an issuer can be identified as a Commission-Identified Issuer before the SEC must impose an initial trading prohibition on the issuer’s securities from three years to two. Therefore, once an issuer is identified as a Commission-Identified Issuer for two consecutive years, the SEC is required under the HFCAA to prohibit the trading of the issuer’s securities on a national securities exchange and in the over-the-counter market.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22, 2021, the PCAOB adopted a new rule related to its responsibilities under the HFCAA, which provides a framework for the PCAOB to use when determining, as contemplated under the HFCAA, whether it is unable to inspect or investigate completely registered public accounting firms located in a foreign jurisdiction because of a position taken by one or more authorities in that jurisdiction. The new rule became effective on November 4, 2021.</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16, 2021, the PCAOB issued a report notifying the Commission of its determinations (the “PCAOB Determinations”) that they are unable to inspect or investigate completely PCAOB-registered public accounting firms headquartered in Chinese Mainland and in Hong Kong. The report sets forth lists identifying the registered public accounting firms headquartered in Chinese Mainland and Hong Kong, respectively, that the PCAOB is unable to inspect or investigate completely.</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CSRC and Ministry of Finance, taking the first step toward opening access for the PCAOB to inspect and investigate registered public accounting firms headquartered in Chinese Mainland and Hong Kong completely, consistent with U.S. law.</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conduct inspections and investigations completely of PCAOB-registered public accounting firms headquartered in Chinese Mainland and Hong Kong in 2022. The PCAOB vacated its previous determinations issued in December 2021 accordingly.</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18, 2023, we dismissed Marcum Asia CPAs LLP, a firm registered with the PCAOB and headquartered in New York, the United States, and appointed Deloitte Touche Tohmatsu Certified Public Accountants LLP, or Deloitte, which is located in Chinese Mainland, as our independent registered public accounting firm. We do not expect to be identified as a “Commission-Identified Issuer” under the HFCAA for the fiscal year ended December 31, 2025 after we file our annual report on Form 20-F for such fiscal year. However, whether the PCAOB will continue to conduct inspections and investigations completely to its satisfaction of PCAOB-registered public accounting firms headquartered in Chinese Mainland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Chinese Mainland and Hong Kong in the future. The PCAOB is required under the HFCAA to make its determination on an annual basis with regards to its ability to inspect and investigate completely accounting firms based in the Chinese Mainland and Hong Kong. The possibility of being a “Commission-Identified Issuer” and risk of delisting could continue to adversely affect the trading price of our securities. Should the PCAOB again encounter impediments to inspections and investigations in Chinese Mainland or Hong Kong as a result of positions taken by any authority in either jurisdiction, the PCAOB will make determinations under the HFCAA as and when appropriate.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Jiayin Group Inc. is a Cayman Islands holding company primarily operating in China through its subsidiaries and contractual arrangements with Jiayin Technology. Investors in the ADSs thus are not purchasing, and may never hold, equity interests in the consolidated VIE. The interpretation and application of current and future PRC laws, regulations, and rules relating to such agreements that establish the VIE structure for the majority of our and the consolidated VIE’s operations in China, including potential future actions by the PRC government remains to be observed, which could affect the enforceability of our contractual arrangements with Jiayin Technology and, consequently, significantly affect the financial condition and results of operations of Jiayin Group Inc. If the PRC government finds such agreements non-compliant with relevant PRC laws, regulations, and rules, or if these laws, regulations, and rules or the interpretation thereof change in the future, we could be subject to severe penalties or be forced to relinquish our beneficial interest in Jiayin Technology or forfeit our rights under the contractual arrangements.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Shanghai Kunjia, our indirectly wholly-owned PRC subsidiary, is considered a foreign-invested enterprise. However, PRC laws and regulations place certain restrictions and conditions on foreign ownership of certain areas of businesses. To comply with PRC laws and regulations, we conduct our business activities through the consolidated VIE in China. As such, Shanghai Kunjia entered into the Contractual Arrangements with Jiayin Technology and the shareholders of Jiayin Technology, among others, pursuant to which, we are able to:(i) exercise effective control over Jiayin Technology; (ii) receive substantially all of the economic benefits of Jiayin Technology and its subsidiaries; (iii) have an exclusive call option to purchase all or part of the equity interests in and/or assets of Jiayin Technology when and to the extent permitted by laws; (iv) have an exclusive option to purchase, or designate one or more persons to purchase from Jiayin Technology all or any part of its assets at any time and from time to time in our absolute direction to the extent permitted by PRC laws; (v) appoint us or our designated person to exercise all shareholder rights in Jiayin Technology; and (vi) have all of the equity interests in Jiayin Technology pledged to us as a continuing first priority security interest for performance of the Contractual Arrangements. The Contractual Arrangements allow the results of operation and assets and liabilities of Jiayin Technology to be consolidated into our results of operations and assets and liabilities under U.S. GAAP as if it was our wholly-owned subsidiary.</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Contractual Arrangements that establish the structure for operating our and the consolidated VIE’s business in the PRC are found to be in violation of any existing or any PRC laws or regulations in the future, or the PRC government finds that we, or the consolidated VIE fails to obtain or maintain any of the required permits or approvals, the relevant PRC regulatory authorities, including the MIIT, MOFCOM and SAT, would have discretion in dealing with such violations, including:</w:t>
      </w:r>
    </w:p>
    <w:p>
      <w:pPr>
        <w:spacing w:after="0" w:line="18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and operating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or confiscating any of the income from us and the consolidated VIE that they deem to have been obtained through illegal operations;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and the consolidated VIE’s operations in such a way as to compel us to establish new entities, re-apply for the necessary licenses or relocate our and the consolidated VIE’s business, staff and assets;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additional conditions or requirements with which we and the consolidated VIE may not be able to comply;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the use of proceeds from the initial public offering or other financing activities to finance our and the consolidated VIE’s business and operations in the PRC;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other regulatory or enforcement actions that could be harmful to our and the consolidated VIE’s business.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of these actions could cause significant disruption or result in a material change to our and the consolidated VIE’s business operations, and may materially and adversely affect our and the consolidated VIE’s business, financial condition and results of operations. In addition, it is unclear what impact the PRC government actions would have on us and on our ability to consolidate the financial results of Jiayin Technology and its subsidiaries in our consolidated financial statements, if the PRC governmental authorities find the consolidated VIE’s legal structure and Contractual Arrangements to be in violation of PRC laws, rules and regulations. If any of these penalties results in our inability to direct the activities of Jiayin Technology or its subsidiaries that most significantly impact its economic performance and/or our failure to receive the economic benefits from Jiayin Technology or its subsidiaries, we may not be able to consolidate Jiayin Technology and/or its subsidiaries into our consolidated financial statements in accordance with U.S. GAAP. If we are unable to claim our right to control the assets of the consolidated VIE, the ADSs may decline in value or become worthless.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authority to exert influence on the China operations of an offshore holding company, such as us. Changes in China’s economic, political or social conditions, or government policies may cause our and the consolidated VIE’s underlying operations in China to become prohibitive, which could materially and adversely affect our and the consolidated VIE’s business, financial condition, and results of operations.</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our and the consolidated VIE’s operations are located in China and as a result, the continuation of the underlying operations in China is vital to our and the consolidated VIE’s success. The PRC government has authority to exert influence on the China operations of an offshore holding company, such as us. Despite economic reforms and measures implemented by the PRC government, the PRC government continues to play a significant role in regulating industrial development, allocation of natural and other resources, production, pricing and management of currency.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and the consolidated VIE’s ability to successfully conduct and expand business operations in the PRC depends on a number of factors, including macro-economic and other market conditions. Demand for our and the consolidated VIE’s services and our and the consolidated VIE’s business, financial condition and results of operations may be materially and adversely affected by the following factors:</w:t>
      </w:r>
    </w:p>
    <w:p>
      <w:pPr>
        <w:spacing w:after="0" w:line="17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changes in social conditions of the PRC;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administrative directives or the interpretation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which may be introduced to control inflation or deflation;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or method of taxation.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factors are affected by a number of variables which are beyond our and the consolidated VIE’s control. In the event that our or the consolidated VIE’s underlying operations in China become prohibitive, we and the consolidated VIE may not be able to relocate and/or reproduce operating activities elsewhere, which could cause significant business disruptions and materially and adversely affect our and the consolidated VIE’s business, financial condition, and results of operations.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the consolidated VIE are subject to extensive and evolving legal development, non-compliance with which, or changes in which, may materially and adversely affect our and the consolidated VIE’s business and prospects, and may result in a material change in our and the consolidated VIE’s operations and/or the value of our ADSs or could significantly limit or completely hinder our and the consolidated VIE’s ability to offer or continue to offer securities to investors and cause the value of our securities to significantly decline or be worthless.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PRC companies are subject to various PRC laws, regulations and government policies and the relevant laws, regulations and policies continue to evolve. The recent statements and regulatory actions by China’s government, such as those related to the use of data security, anti-monopoly concerns, and the regulatory approvals on overseas listings, may impact our ability to conduct the business, accept foreign investments and/or list on a U.S. or other foreign exchange. In addition, the PRC government may adopt new measures that may affect our and the consolidated VIE’s operations, or may exert more oversight and influence on offerings conducted outside of China and foreign investment in China-based companies, and we and the consolidated VIE may be subject to challenges brought by these new laws, regulations and policies. However, since the PRC legal system continues to rapidly evolve, the interpretations of many laws, regulations and rules may change. Furthermore, as we and the consolidated VIE may be subject to additional, yet undetermined, laws and regulations, compliance may require us to obtain additional permits and licenses, complete or update registrations with relevant regulatory authorities, adjust our and the consolidated VIE’s business operations, as well as allocate additional resources to monitor developments in the relevant regulatory environment. However, under the stringent regulatory environment, it may take much more time for the relevant regulatory authorities to approve new applications for permits and licenses, and complete or update registrations and we cannot assure you that we and the consolidated VIE will be able to comply with these laws and regulations in a timely manner or at all. The failure to comply with these laws and regulations may delay, or possibly prevent, us to conduct business, accept foreign investments, or listing overseas.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may materially and adversely affect our and the consolidated VIE’s business and prospects and may result in a material change in our and the consolidated VIE’s operations and/or the value of our ADSs or could significantly limit or completely hinder our and the consolidated VIE’s ability to offer or continue to offer securities to investors. In addition, if any of changes causes us unable to direct the activities of the consolidated VIE or lose the right to receive their economic benefits, we may not be able to consolidate the VIE into our consolidated financial statements in accordance with U.S. GAAP, which could cause the value of our ADSs to significantly decline or become worthless.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28, 2021, the CAC, NDRC, MIIT, the MPS, the Ministry of National Security, the MOF, the MOFCOM, the PBOC, the National Radio and Television Administration, the CSRC, the National Administration of State Secrets Protection and the State Cryptography Administration jointly released the Measures for Cybersecurity Review, or the Cybersecurity Review Measures, which took effect on February 15, 2022. According to the Cybersecurity Review Measures, (i) critical information infrastructure operators that intend to purchase internet products and services and (ii) online platform operators engaging in data processing activities that affect or may affect national security must be subject to the cybersecurity review. According to the Regulations for Safe Protection of Critical Information Infrastructure, or the Safe Protection Regulations, which took effect on September 1, 2021, critical information infrastructure refers to important network infrastructure and information system in public telecommunications, information services, energy sources, transportation and other critical industries and domains, in which any destruction or data leakage will have severe impact on national security, the nation’s welfare, people’s living and public interests. As of the date hereof, neither we nor the consolidated VIE has received any notice from government authorities identifying us or the consolidated VIE as a critical information infrastructure operator. If we and the consolidated VIE are identified as an infrastructure operator in the future, we and the consolidated VIE must be subject to cybersecurity review.</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online platform operators applying for listing on a foreign exchange must go through cybersecurity review if it possesses personal information of more than one million users, according to the Cybersecurity Review Measures. The review focuses on several factors, including, among others, (i) the risk of theft, leakage, corruption, illegal use or export of any core or important data, or a large amount of personal information, and (ii) the risk of any critical information infrastructure, core or important data, or a large amount of personal information being affected, controlled or maliciously exploited by a foreign government after a company is listed overseas. Nevertheless, it is still uncertain whether the Cybersecurity Review Measures will be applicable to a future offering conducted by China-based companies listed overseas. As of the date hereof, neither we nor the consolidated VIE has received any notice from government authorities requiring us to going through cybersecurity review by the CAC.</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light of the foregoing, as advised by our PRC legal counsel, we believe that there is a relatively low likelihood that we and the consolidated VIE will be subject to the cybersecurity review by the CAC for a future offering of our securities to foreign investors, given that: (i) neither we nor the consolidated VIE has been recognized as critical information infrastructure operators; (ii) data processed in our and the consolidated VIE’s business do not have impact or potential impact on national security; and (iii) it is still uncertain whether the Cybersecurity Review Measures will be applicable to a future offering conducted by China-based companies listed overseas. However, it remains to be observed as to how the Cybersecurity Review Measures will be interpreted and whether the PRC regulatory agencies, including the CAC, may adopt new laws, regulations, rules, or detailed implementation and interpretation related to the Cybersecurity Review Measures. If any such new laws, regulations, rules, or implementation and interpretation comes into effect, we and the consolidated VIE will take all reasonable measures and actions to comply and to minimize the adverse effect of such laws on us.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assure you that PRC regulatory agencies, including the CAC, would take the same view as we and our PRC legal counsel do, and there is no assurance that we and the consolidated VIE can fully or timely comply with such laws. In addition, we and/or the consolidated VIE may be required to go through cybersecurity review by the CAC as a result of change in applicable laws, regulations or interpretations. In the event that we and the consolidated VIE are subject to any mandatory cybersecurity review and other specific actions required by the CAC, we and the consolidated VIE face uncertainty as to whether any clearance or other required actions can be timely completed, or at all. Given such uncertainty, we and the consolidated VIE may be further required to suspend our and the consolidated VIE’s relevant business, shut down our and the consolidated VIE’s website, or face other penalties, which could materially and adversely affect our and the consolidated VIE’s business, financial condition, and results of operations, and/or the value of our ADSs or could significantly limit or completely hinder our and the consolidated VIE’s ability to offer or continue to offer securities to investors. In addition, if any of these events causes us unable to direct the activities of the consolidated VIE or lose the right to receive their economic benefits, we may not be able to consolidate the VIE into our consolidated financial statements in accordance with U.S. GAAP, which could cause the value of our ADSs to significantly decline or become worthless.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September 30, 2024, the State Council released the Regulations on the Management of Network Data Security, also known as the Network Data Regulation, which came into force on January 1, 2025. The Network Data Regulation is not only the first at the administrative regulation level specifically for network data security, but it also serves as a comprehensive implementing regulation for the compliance requirements set out by the Cyber Security Law, Data Security Law, and Personal Information Protection Law. The Network Data Regulation introduces several key obligations, including requiring network data handlers to specify the purpose and method of personal information processing, as well as the types of personal information involved, before any personal information is handled. It also clarifies definitions for important data, outlines the obligations of those handling important data, establishes broader contractual requirements for data sharing between data handlers, and introduces a new exemption for regulatory obligations regarding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cross-border data transfers. As the Network Data Regulation is relatively new, it remains to be seen how this regulation will be interpreted and implemented, and to what extent it will affect our operations.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be able to comply with new regulatory requirements relating to our future overseas capital raising activities, and may be subject to more stringent requirements with respect to matters including data privacy and cross-border investigation and enforcement of legal claims. In the event that we and the consolidated VIE are subject to any mandatory cybersecurity review and other specific actions required by the CAC, we and the consolidated VIE face uncertainty as to whether any clearance or other required actions can be timely completed, or at all. Given such uncertainty, we and the consolidated VIE may be further required to suspend our and the consolidated VIE’s relevant business, shut down our and the consolidated VIE’s website, or face other penalties, which could materially and adversely affect our and the consolidated VIE’s business, financial condition, and results of operations, and/or the value of our ADSs or could significantly limit or completely hinder our and the consolidated VIE’s ability to offer or continue to offer securities to investors. In addition, if any of these events causes us unable to direct the activities of the consolidated VIE or lose the right to receive their economic benefits, we may not be able to consolidate the VIE into our consolidated financial statements in accordance with U.S. GAAP, which could cause the value of our ADSs to significantly decline or become worthless.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oversight over our and the consolidated VIE’s business operations could result in a material adverse change in our and the consolidated VIE’s operations and the value of our ADSs.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conduct our business in China primarily through our PRC subsidiaries, including Shanghai Kunjia and Chuangzhen Technology and its subsidiaries in which we hold equity ownership interests, and the contractual arrangements with the consolidated VIE. Our and the consolidated VIE’s operations in China are governed by PRC laws and regulations. The PRC government has oversight over the conduct of our and the consolidated VIE’s business, and it regulates and may influence our and the consolidated VIE’s operations, which could result in a material adverse change in our and the consolidated VIE’s operation and/or the value of our ADSs. Also, the PRC government has exerted oversight over offerings that are conducted overseas and/or foreign investment in China-based issuers like us in recent years, which could significantly limit or completely hinder our ability to offer or continue to offer securities to investors and cause the value of such securities to significantly decline or be worthless. In addition, implementation of industry-wide regulations directly targeting our and the consolidated VIE’s operations could cause the value of our securities to significantly decline.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CSRC, the CAC or other PRC government authorities may be required under PRC law in connection with a future offering of our securities to foreign investors.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complete filing or fulfill other requirements of the CSRC within three business days after the closing of our future offerings, according to the Trial Administrative Measures. We do not believe we are required to obtain any approvals from the CAC or other PRC government authorities under PRC law in connection with a future offering of our securities to foreign investors as of the date of this annual report.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and five supporting guidelines, which became effective on March 31, 2023. The Trial Administrative Measures lay out filing procedures for PRC domestic enterprises to file their initial public offerings and follow-on overseas offerings with the CSRC. PRC domestic enterprises are required to file follow-on offerings with the CSRC within three business days after the closing of such offerings.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Trial Administrative Measures, an overseas offering and listing is prohibited under any of the following circumstances: (i) if the intended securities offering and listing is specifically prohibited by laws, regulations or relevant national provisions; (ii) if the intended securities offering and listing may constitute a threat to or endangers national security as reviewed and determined by competent authorities under the State Council in accordance with law; (iii) if, in the past three years, the PRC domestic enterprise or its controlling shareholders or actual controllers have committed corruption, bribery, embezzlement, misappropriation of property, or other criminal offenses disruptive to the order of the socialist market economy; (iv) if the PRC domestic enterprise is currently under judicial investigation for suspicion of criminal offenses, or is under investigation for suspicion of material violations of law; and (v) if there are material ownership disputes over the equity held by the controlling shareholder or held by the shareholder controlled by the controlling shareholder or actual controller.</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a result, we are required to complete the filing procedures with the CSRC for any future follow-on offerings within three business days after the closing of the offering.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24, 2023, the CSRC and other relevant government authorities published the Provisions on Confidentiality and Archives Management. According to the Provisions on Confidentiality and Archives Management, PRC domestic enterprises that seek to offer and list securities in overseas markets shall establish confidentiality and archives management system. The PRC domestic enterprises shall obtain approval from the competent authority and file with the confidential administration department at the same level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2" w:name="page53"/>
    <w:bookmarkEnd w:id="52"/>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providing or publicly disclosing documents and materials related to state secrets or secrets of the governmental authorities to the underwriters or other agencies or the offshore regulatory authorities, and shall complete corresponding procedures when providing or publicly disclosing documents and materials which may adversely influence national security and the public interest. The PRC domestic enterprises shall provide written statements on the implementation on the aforementioned rules to the underwriter and other agencies. Nevertheless, the Provisions on Confidentiality and Archives Management do not provide a clear scope of materials that, if divulged, will jeopardize national security or public interest, and the PRC government authorities may have certain discretion in the interpretation and enforcement of the applicable laws. Given it remains to be observed surrounding the interpretation of the Provisions on Confidentiality and Archives Management, we cannot assure you that we will not be required to obtain any approval from or complete filing procedures with the competent authorities for our future offerings.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Trial Administrative Measures and the Provisions on Confidentiality and Archives Management, as advised by our PRC legal counsel, may subject us to additional compliance requirement in the future for a future securities offering, including completion of filing procedures and obtaining required approval. We cannot assure you that we will be able to get the clearance of filing procedures or obtain the required approval on a timely basis, or at all. Any failure of us to fully comply with new regulatory requirements may significantly limit or completely hinder our ability to offer or continue to offer our securities, cause significant disruption to our business operations, and severely damage our reputation, which would materially and adversely affect our financial condition and results of operations and cause our ADSs to significantly decline in value or become worthless.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With respect to the Cyberspace Administration of China, or the CAC, as advised by our PRC legal counsel, we believe that there is a relatively low likelihood that we and the consolidated VIE will be subject to the cybersecurity review by the CAC for a future offering of our securities to foreign investors, given that: (i) neither we nor the consolidated VIE has been recognized as critical information infrastructure operators; (ii) data processed in our and the consolidated VIE’s business do not have impact or potential impact on national security; and (iii) it is still uncertain whether the Cybersecurity Review Measures will be applicable to a future offering conducted by China-based companies listed overseas. For further discussion on the risks relating to the oversight of the CAC, see “Item 3. Key Information—D. Risk Factors—Risks Relating to Our Corporate Structure——It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advised by our PRC legal counsel, we believe that approvals or permissions from the CSRC are not required for the operations of the consolidated VIE and our other subsidiaries, and that there is a relatively low likelihood that the operations of the consolidated VIE and our other subsidiaries will be subject to the cybersecurity review by the CAC, given that: (i) neither the consolidated VIE nor any of our other subsidiaries has been recognized as critical information infrastructure operators; and (ii) data processed in the consolidated VIE and our other subsidiaries’ business do not have impact or potential impact on national security. Furthermore, our and the VIE Group’s online platform, operated by Geerong Yunke and Shanghai Yixin may be deemed to be providing commercial Internet information services, which would require the aforementioned companies to obtain certain value-added telecommunications business license. We cannot assure you that we can obtain these licenses in a timely manner, or at all. Any failure to obtain the relevant approvals or licenses may subject us to sanctions, including rectification orders and warnings, fines, confiscation of illegal gains, and, in case of significant infringement, orders to close our online platform, which may have a material adverse effect on our business, financial condition or results of operations. For further discussion on the risks relating to the regulatory oversight of the online platform, see “Item 3. Key Information—D. Risk Factors— Risks Relating to Doing Business in China—We and the VIE Group may be adversely affected by the complexity and changes in PRC regulation of Internet-related businesses and companies, and any lack of requisite approvals, licenses or permits applicable to our and the VIE Group’s business may have a material adverse effect on our and the VIE Group’s business and results of operations.”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foregoing, we do not believe we are required to obtain any approvals from the CAC or other PRC government authorities under PRC law in connection with a future offering of our securities to foreign investors as of the date of the annual report.</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inadvertently conclude any prior approval is not required and the CSRC, the CAC or other relevant PRC regulatory agencies subsequently determine that prior approval is required for any of our future offerings of securities overseas or to maintain the listing status of our ADSs, we cannot guarantee that we will be able to obtain such approval in a timely manner, or at all, or to maintain such approval once we receive it. The CSRC, the CAC or other PRC regulatory agencies also may take actions requiring us, or making it advisable for us, not to proceed with such offering or maintain the listing status of our ADSs. If we proceed with any of such offering or maintain the listing status of our ADSs without obtaining these regulatory agencies’ approval to the extent it is required, or if we are unable to comply with any new approval requirements which might be adopted for future offerings, we may face regulatory actions or other sanctions from these regulatory agencies. For example, regulatory agencies may impose fines and penalties on our operations in China, limit our ability to pay dividends outside of China, limit our operating privileges in China, delay or restrict the repatriation of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offering of securities overseas into China or take other actions that could have a material adverse effect on our business, financial condition, results of operations and prospects, as well as the trading price of the ADSs.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if we are required to obtain any other approvals from or complete filings and/or other regulatory procedures with the CSRC, the CAC or other PRC regulatory agencies as a result of change in applicable laws, regulations or interpretations for any future offering or the listing of the ADSs, we cannot assure you that we can obtain the required approval or complete the required filings and/or other regulatory procedures in a timely manner, or at all. Any failure to obtain such approval or complete such filings and/or other regulatory procedures may subject us to regulatory actions or other sanctions taken by the relevant government authorities, which may have a material adverse effect on our business, financial condition or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implementation of the Foreign Investment Law of the PRC may impact the viability of our current corporate structure, corporate governance and business operations.</w:t>
      </w:r>
    </w:p>
    <w:p>
      <w:pPr>
        <w:spacing w:after="0" w:line="15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On March 15, 2019, the National People’s Congress adopted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xml:space="preserve"> of the PRC, which became effective on January 1, 2020 and replaced three existing laws regulating foreign investment in China, namely, the </w:t>
      </w:r>
      <w:r>
        <w:rPr>
          <w:rFonts w:ascii="Times New Roman" w:cs="Times New Roman" w:eastAsia="Times New Roman" w:hAnsi="Times New Roman"/>
          <w:sz w:val="18"/>
          <w:szCs w:val="18"/>
          <w:i w:val="1"/>
          <w:iCs w:val="1"/>
          <w:color w:val="auto"/>
        </w:rPr>
        <w:t>Law of the People’s Republic of China on Wholly Foreign-owned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Law of the People’s Republic of China on Sino-Foreign Equity Joint Ventures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Law of the People’s Republic of China on Sino-Foreign Cooperative Joint Ventures</w:t>
      </w:r>
      <w:r>
        <w:rPr>
          <w:rFonts w:ascii="Times New Roman" w:cs="Times New Roman" w:eastAsia="Times New Roman" w:hAnsi="Times New Roman"/>
          <w:sz w:val="18"/>
          <w:szCs w:val="18"/>
          <w:color w:val="auto"/>
        </w:rPr>
        <w:t>, together with their implementation rules and ancillary regulations. The</w:t>
      </w:r>
      <w:r>
        <w:rPr>
          <w:rFonts w:ascii="Times New Roman" w:cs="Times New Roman" w:eastAsia="Times New Roman" w:hAnsi="Times New Roman"/>
          <w:sz w:val="18"/>
          <w:szCs w:val="18"/>
          <w:i w:val="1"/>
          <w:iCs w:val="1"/>
          <w:color w:val="auto"/>
        </w:rPr>
        <w:t xml:space="preserve"> Foreign Investment Law </w:t>
      </w:r>
      <w:r>
        <w:rPr>
          <w:rFonts w:ascii="Times New Roman" w:cs="Times New Roman" w:eastAsia="Times New Roman" w:hAnsi="Times New Roman"/>
          <w:sz w:val="18"/>
          <w:szCs w:val="18"/>
          <w:color w:val="auto"/>
        </w:rPr>
        <w:t>of the PRC embodies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its interpretation and implementation. For example,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xml:space="preserve">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On December 26, 2019, the State Council promulgated the Implementation Regulations on the Foreign Investment Law of the PRC, or the Implementation Regulations, which came into effect on January 1, 2020. However, the Implementation Regulations on the Foreign Investment Law still remains silent on whether contractual arrangements should be deemed as a form of foreign investment. It is therefore uncertain whether our corporate structure will be seen as violating the foreign investment rules as we are currently leveraging the contractual arrangement to operate certain businesses in which foreign investors are prohibited from or restricted from investing. Furthermore, if future legislations prescribed by the State Council mandate further actions to be taken by companies with respect to existing contractual arrangement,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deems that the Contractual Arrangements in relation to Jiayin Technology do not comply with PRC regulatory restrictions on foreign investment in the relevant industries, or if these regulations or the interpretation of existing regulations change in the future, we could be subject to severe penalties or be forced to relinquish our beneficial interest in those operations.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investors are generally not allowed to own more than 50% of the equity interests in a value-added telecommunication service provider (except e-commerce, domestic multi-party communication, storage and forwarding and call center) in accordance with the Special Administrative Measures for Access of Foreign Investment (Negative List) (2024 Version).</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and our subsidiaries in the PRC, or PRC subsidiaries, are considered foreign invested enterprises. However, PRC laws and regulations place certain restrictions and conditions on foreign ownership of certain areas of businesses. To comply with PRC laws and regulations, we hold a value-added telecommunications license through the consolidated VIE, Shanghai Yixin Due to PRC legal restrictions on foreign ownership and investment in, among other areas, value-added telecommunications services, we set up a series of Contractual Arrangements entered into among Shanghai Kunjia, Jiayin Technology and the shareholders of Jiayin Technology to conduct our operations in China. For a detailed description of these Contractual Arrangements, see “Item 4. Information on the Company—C. Organizational Structure—Contractual Arrangements among Shanghai Kunjia, Jiayin Technology and the Shareholders of Jiayin Technology.” As a result of these Contractual Arrangements, we exert control over Jiayin Technology and its subsidiaries and consolidate their operating results in our financial statements under U.S. GAAP.</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opinion of our PRC legal counsel, King &amp; Wood, the ownership structure of Shanghai Kunjia, Jiayin Technology and its subsidiaries is not in violation of existing PRC laws, regulations and rules currently in effect; and each of the VIE contractual agreements among Shanghai Kunjia, Jiayin Technology and the shareholders of Jiayin Technology is valid, binding and enforceable upon each party to such agreements in accordance with their terms and applicable PRC laws and regulations currently in effect. As of and for the year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ended December 31, 2025 and till the date of this annual report, the Company is not aware of any notice from the PRC government that the PRC government holds the opinion that the ownership structure of Shanghai Kunjia, Jiayin Technology and its subsidiaries is illegal, or any of the VIE contractual agreements among Shanghai Kunjia, Jiayin Technology and the shareholders of Jiayin Technology governed by PRC laws are illegal. However, King &amp; Wood has also advised us that there are considerable uncertainties regarding the interpretation and application of PRC laws, rules and regulations and there can be no assurance that the PRC government will take a view that is consistent with the opinion of our PRC legal counsel, King &amp; Wood, in the future.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is uncertain whether any new PRC laws, regulations or rules relating to the “variable interest entity” structure, or the VIE structure, will be adopted or if adopted, what they would provide. If the ownership structure, Contractual Arrangements and business of our company, our subsidiaries, Jiayin Technology or its subsidiaries are found to be in violation of any existing or future PRC laws or regulations, or we fail to obtain or maintain any of the required permits or approvals, the relevant governmental authorities would have discretion in dealing with such violation, including levying fines, confiscating our income or the income of Jiayin Technology or its subsidiaries, revoking the business licenses or operating licenses of Shanghai Kunjia, Jiayin Technology or its subsidiaries, shutting down our servers or blocking our online platform, discontinuing or placing restrictions or onerous conditions on our operations, requiring us to undergo a costly and disruptive restructuring, restricting or prohibiting our use of proceeds from our initial public offering or future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Jiayin Technology and its subsidiaries, and/or our failure to receive economic benefits from Jiayin Technology and its subsidiaries, we may not be able to consolidate their results into our consolidated financial statements in accordance with U.S. GAAP.</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Jiayin Technology and shareholders of Jiayin Technology for certain business operations, which may not be as effective as direct ownership in providing operational control, and these contractual arrangements have not been tested in a court of law.</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consolidated VIE, Jiayin Technology and the shareholders of Jiayin Technology and its subsidiaries, to operate our online consumer finance platform business, including, among others, the operation of www.niwodai.com and our apps, as well as certain other complementary businesses.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a description of these Contractual Arrangements, see “Item 4. Information on the Company—C. Organizational Structure—Contractual Arrangements among Shanghai Kunjia, Jiayin Technology and the Shareholders of Jiayin Technology.” These Contractual Arrangements may not be as effective as direct ownership in providing us with control over the consolidated VIE, and these contractual arrangements have not been tested in a court of law. For example, Jiayin Technology, or shareholders of Jiayin Technology may fail to fulfill their contractual obligations with us, such as failure to maintain our website and use the domain names and trademarks in a manner as stipulated in the Contractual Arrangements, or taking other actions that are detrimental to our interests.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had direct ownership of the consolidated VIE, we would be able to exercise our rights as a shareholder to effect changes in the board of directors of consolidated VIE, which in turn could implement changes, subject to any applicable fiduciary obligations, at the management and operational level. However, under the current Contractual Arrangements, we rely on the performance by Jiayin Technology, shareholders of Jiayin Technology of their obligations under the Contractual Arrangements to exercise control over the consolidated VIE. The consolidated VIE and its shareholders may not act in the best interests of our company or may not perform their obligations under these contracts. Such risks exist throughout the period in which we intend to operate our business through the Contractual Arrangements with Jiayin Technology and shareholders of Jiayin Technology. If any of Jiayin Technology and shareholders of Jiayin Technology is uncooperative or any dispute relating to these contracts remains unresolved, we will have to enforce our rights under these contracts through the operations of PRC laws and arbitration, litigation and other legal proceedings, the outcome of which will be subject to uncertainties. See “Item 3. Key Information—D. Risk Factors—Risks Relating to Our Corporate Structure—Any failure by Jiayin Technology or shareholders of Jiayin Technology to perform their obligations under our Contractual Arrangements with them would have a material adverse effect on our business.” Therefore, our Contractual Arrangements with Jiayin Technology and shareholders of Jiayin Technology may not be as effective in ensuring our control over the relevant portion of our business operations as direct ownership would be.</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Jiayin Technology or shareholders of Jiayin Technology to perform their obligations under our Contractual Arrangements with them would have a material adverse effect on our business.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a series of Contractual Arrangements with Jiayin Technology, the consolidated VIE and the shareholders of Jiayin Technology. For a description of these Contractual Arrangements, see “Item 4. Information on the Company—C. Organizational Structure.” If the consolidated VIE or the shareholders of Jiayin Technology fail to perform their respective obligations under the Contractual Arrangements, we may incur substantial costs and expend additional resources to enforce such arrangements. We may also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have to rely on legal remedies under PRC laws, including seeking specific performance or injunctive relief, and claiming damages, which we cannot assure you that it will be effective under PRC laws. For example, if the shareholders of Jiayin Technology were to refuse to transfer their equity interests in Jiayin Technology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Meanwhile, there are very few precedents and little formal guidance as to how Contractual Arrangements in the context of a variable interest entity should be interpreted or enforced under PRC laws. It may be difficult to evaluate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In the event that we are unable to enforce these Contractual Arrangements, or if we suffer significant delay or other obstacles in the process of enforcing these Contractual Arrangements, we may not be able to exert effective control over Jiayin Technology and its subsidiaries, and our ability to conduct our business may be negatively affected. See “Item 3. Key Information—D. Risk Factors—Risks Relating to Doing Business in China—The interpretation and enforcement of PRC laws and regulations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consolidated VIE may have potential conflicts of interest with us, which may materially and adversely affect our business and financial condition.</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equity interests of the consolidated VIE are held by their respective shareholders. Their interests may differ from the interests of our company as a whole. These shareholders may breach, or cause the consolidated VIE to breach, the existing Contractual Arrangements we have with them and the consolidated VIE, which would have a material adverse effect on our ability to effectively control the consolidated VIE and subsidiaries of the consolidated VIE, and receive economic benefits from them. For example, the shareholders of Jiayin Technology may be able to cause our agreements with Jiayin Technology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call option under the exclusive call option agreement with shareholders of Jiayin Technology to request them to transfer all of their equity interests in Jiayin Technology to a PRC entity or individual designated by us, to the extent permitted by PRC laws. If we cannot resolve any conflict of interest or dispute between us and the shareholders of the consolidated VIE, we would have to rely on legal proceedings, which could result in the disruption of our business and subject us to substantial uncertainty as to the outcome of any such legal proceedings.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consolidated VIE may be subject to scrutiny by the PRC tax authorities and they may determine that we or consolidated VIE owe additional taxes, which could negatively affect our financial condition and the value of your investment.</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in relation to the consolidated VIE were not entered into on an arm’s length basis in such a way as to result in an impermissible reduction in taxes under applicable PRC laws, regulations and rules, and adjust the income of Jiayin Technology in the form of a transfer pricing adjustment. A transfer pricing adjustment could, among other things, result in a reduction of expense deductions recorded by Jiayin Technology for PRC tax purposes, which could in turn increase their tax liabilities without reducing tax expenses of Shanghai Kunjia. In addition, if Shanghai Kunjia requests the shareholders of Jiayin Technology to transfer their equity interests in Jiayin Technology at nominal or no value pursuant to these Contractual Arrangements, such transfer could be viewed as a gift and subject Shanghai Kunjia to PRC income tax. Furthermore, the PRC tax authorities may impose late payment fees and other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penalties on Jiayin Technology for the adjusted but unpaid taxes according to the applicable regulations. Our financial position could be materially and adversely affected if Jiayin Technology’s tax liabilities increase or if they are required to pay late payment fees and other penalties.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 Group that are material to the operation of our business if the entities within the VIE Group declare bankruptcy or become subject to a dissolution or liquidation proceeding.</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VIE Group holds certain assets that are material to the operation of our business, including, among others, intellectual properties, hardware and software. Under the Contractual Arrangements, the VIE Group may not, and the shareholders of the VIE Group may not cause them to, in any manner, sell, transfer, mortgage or dispose of their assets or their legal or beneficial interests in the business without our prior consent. However, in the event the VIE Group’s shareholders breach these Contractual Arrangements and voluntarily liquidate any entity within the VIE Group, or the entities within the VIE Group declare bankruptcy and all or part of their assets become subject to liens or rights of third-party creditors, or are otherwise disposed of without our consent, we may be unable to continue some or all of our business activities, which could materially and adversely affect our business, financial condition and results of operations. If the entities within the VIE Group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and the VIE Group’s business and results of operations.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Substantially all of our and the VIE Group’s operations are located in China. Accordingly, our and the VIE Group’s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Chinese economy has experienced significant growth over the past decades since the implementation of China’s reform and opening-up policy, and the PRC government continues to play a significant role in regulating industry development by imposing industrial policies. In addition, the Chinese government has implemented in the past certain measures to speed up the economic and social growth. These measures may lead to a reduction in demand for our services and consequently have a material adverse effect on our businesses,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global economy could reduce the demand for consumer loans and investments, which could materially and adversely affect our and the VIE Group’s business and financial condition.</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global financial markets have experienced significant disruptions between 2008 and 2009, and the United States, Europe and other economies have experienced periods of recessions. The recovery from the economic downturns of 2008 and 2009 has been uneven and is facing new challenges, including the announcement of Brexit which creates additional global economic uncertainty and the slowdown of the Chinese economy since 2012. The recovery from the COIVD-19 pandemic across the globe remains uncertain. There is considerable uncertainty over the long-term effects of the expansionary monetary and fiscal policies adopted by the central banks and financial authorities of some of the world’s leading economies. Further, there have also been concerns over unrest in the Middle East, which have resulted in volatility in financial and other markets.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have been concerns about the economic effect of the tensions in the relationship between China and other countries, including the United States the surrounding Asian countries. In particular, political tensions between the United States and China have escalated in recent years due to, among other things, the trade war between the two countries since 2018, the COVID-19 outbreak, the PRC National People’s Congress’ passage of Hong Kong national security legislation, the imposition of U.S. sanctions on certain Chinese officials from China’s central government and the Hong Kong Special Administrative Region by the U.S. government, and the imposition of sanctions on certain individuals from the U.S. by the Chinese government, various executive orders issued by U.S. President Donald J. Trump, such as the one issued in August 2020 that prohibits certain transactions with ByteDance Ltd., Tencent Holdings Limited and the respective subsidiaries of such companies, the executive order issued in November 2020 that prohibits U.S. persons from transacting publicly traded securities of certain “Communist Chinese military companies” named in such executive order, the executive order issued in January 2021 that prohibits such transactions as are identified by the U.S. Secretary of Commerce with certain “Chinese connected software applications,” including Alipay and WeChat Pay, as well as the Rules on Counteracting Unjustified Extra-territorial Application of Foreign Legislation and Other Measures promulgated by the MOFCOM on January 9, 2021, which apply to Chinese individuals or entities that are purportedly barred by a foreign country’s law from dealing with nationals or entities of a third country. In October 2022, the U.S. government implemented comprehensive export controls to restrict the export of advanced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semiconductors and the equipment required to manufacture them to China. Starting from February 2025, the U.S. government imposed a series of tariff increases on imports from China. During 2025, the U.S. government imposed a wide range of tariffs at varying levels, including in particular tariffs on Chinese imports, and many countries, including China, have taken retaliating measures. While certain tariffs have subsequently been suspended following trade talks between the U.S. and Chinese governments, trade negotiations between the United States and China and other countries remain fluid. Rising political tensions between China and the U.S. could reduce levels of trades, investments, technological exchanges and other economic activities between the two major economies, which would have a material adverse effect on global economic conditions and the stability of global financial markets. The measures taken by the U.S. and Chinese governments may have the effect of restricting our and the VIE Group’s ability to transact or otherwise do business with entities within or outside of China and may cause investors to lose confidence in Chinese companies and counterparties, including us. If we and the VIE Group were unable to conduct its business as it is currently conducted as a result of such regulatory or policy changes, our and the VIE Group’s business, results of operations and financial condition would be materially and adversely affected.</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October 2024, the U.S. Treasury Department issued a final rule establishing a new national security regulatory framework restricting outbound investment from the United States in certain sensitive industries and sectors in China including the Special Administrative Regions of Hong Kong and Macau (the “Outbound Investment Rule”). The Outbound Investment Rule, which took effect on January 2, 2025, targets investments involving any “covered foreign person” which includes persons and entities associated with countries of concern, currently only China, that engage in certain activities in three sectors: (i) semiconductor and microelectronics, (ii) quantum information technologies, and (iii) artificial intelligence systems. Depending on the activity in question, the Outbound Investment Rule imposes obligations on U.S. persons, either prohibiting, or requiring notification to the U.S. government concerning, “covered transactions,” which is defined to include, among other things, acquisitions of equity interests or provision of certain debt financing to covered foreign persons, brownfield or greenfield investment in China, or entry into a joint venture with a covered person, unless an enumerated exception applies, such as investment in publicly traded securities. We currently do not believe that we are a “covered foreign person” under the Outbound Investment Rule. However, there is no assurance that the U.S. Treasury Department will take the same view as ours. If we were to be deemed a Covered Foreign Person, our ability to raise capital would be significantly and negatively affected, which could be detrimental to our business, financial condition and prospects. In such case, the trading prices of our ADSs and/or our Class A ordinary shares may be materially and adversely affected and the value of our securities may decline significantly. It is also possible that the U.S. government may expand the sectors and technologies subject to the Outbound Investment Rule or adopt additional laws or regulations further restricting outbound investment from the U.S. to or relating to China. For example, on February 20, 2025, President Trump issued the America First Trade Policy Memorandum, which proposes possible expansion of the set of technologies of concern and a review of exceptions to the Outbound Investment Rule, possibly including changes to the existing exception for publicly trades securities.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If our ability to raise such capital is significantly and negatively affected, it could be detrimental to our business, financial condition and prospects, and our ADSs may significantly decline in value.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there were media reports on deliberations within the U.S. government regarding potentially limiting or restricting China-based companies from accessing U.S. capital markets, and delisting China-based companies from U.S. national securities exchanges. In January 2021, after reversing its own delisting decision, the NYSE ultimately resolved to delist China Mobile, China Unicom and China Telecom in compliance with the executive order issued in November 2020, after receiving additional guidance from the U.S. Department of Treasury and its Office of Foreign Assets Control. These delistings have introduced greater confusion and uncertainty about the status and prospects of Chinese companies listed on the U.S. stock exchanges. On April 9, 2025, amid the escalation of trade war between the U.S. and China, the U.S. Secretary of the State, Scott Bessent, indicated the possibility of delisting U.S.-listed China-based issuers. If any further such deliberations were to materialize, it may have a material and adverse impact on the stock performance of China-based issuers listed in the United States such as us, and we cannot assure you that we will always be able to maintain the listing of our ADSs on a national stock exchange in the U.S., such as the Nasdaq Stock Market or the NYSE, or that you will always be allowed to trade our ADSs.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8" w:name="page59"/>
    <w:bookmarkEnd w:id="5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interpretation and enforcement of PRC laws and regulations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prior court decisions have limited value as precedents. Since the PRC legal system continues to rapidly evolve, the interpretations of many laws, regulations and rules may change.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particular, PRC laws and regulations concerning the online consumer finance industry are evolving. Although we have taken measures to comply with the laws and regulations that are applicable to our business operations, including the regulatory principles raised by the CBIRC, and avoid conducting any non-compliant activities under the applicable laws and regulations, such as illegal fund-raising, forming capital pool or providing guarantee to investors, the PRC government authority may promulgate new laws and regulations regulating the online consumer finance industry in the future. We cannot assure you that our practice would not be deemed to violate any new PRC laws or regulations relating to online consumer finance. Moreover, developments in the online consumer finance industry may lead to changes in PRC laws, regulations and policies or in the interpretation and application of existing laws, regulations and policies that may limit or restrict online consumer finance platform like us, which could materially and adversely affect our business and operations.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certain discretion within their scope of authority in interpreting and implementing statutory and contractual terms, it may be difficult to evaluate the outcome of administrative and court proceedings and the level of legal protection we enjoy. Such uncertainties, including uncertainty over the scope and effect of our contractual, property (including intellectual property) and procedural rights,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VIE Group may be adversely affected by the complexity and changes in PRC regulation of Internet-related businesses and companies, and any lack of requisite approvals, licenses or permits applicable to our and the VIE Group’s business may have a material adverse effect on our and the VIE Group’s business and results of operations.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PRC government regulates the Internet industry, including foreign ownership of, and the licensing and permit requirements pertaining to, companies in the Internet industry. These Internet-related laws and regulations are evolving. As a result, in certain circumstances it may be difficult to determine what actions or omissions may be deemed to be in violation of applicable laws and regulations.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the CAC (with the involvement of the State Council Information Office, the MIIT, and the Ministry of Public Security). The primary role of this new agency is to facilitate the policy-making and legislative development in this field, to direct and coordinate with the relevant departments in connection with online content administration and to deal with cross-ministry regulatory matters in relation to the Internet industry.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and the VIE Group’s online platform, operated by Geerong Yunke and Shanghai Yixin may be deemed to be providing commercial Internet information services, which would require the aforementioned companies to obtain certain value-added telecommunications business license. We cannot assure you that we can obtain these licenses in a timely manner, or at all. Any failure to obtain the relevant approvals or licenses may subject us to sanctions, including rectification orders and warnings, fines, confiscation of illegal gains, and, in case of significant infringement, orders to close our online platform, which may have a material adverse effect on our business, financial condition or results of operations. See “Item 4. Information on the Company —B. Business Overview—Regulation—Regulations Relating to Internet Companies—Regulations on Value-Added Telecommunication Services.” Furthermore, it is uncertain if Jiayin Technology and its subsidiaries will be required to obtain a separate operating license with respect to our and the VIE Group’s mobile applications in addition to the value-added telecommunications business license.</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cannot assure you that we and the VIE Group have obtained all the permits or licenses required for conducting our and the VIE Group’s business in China or will be able to maintain our and the VIE Group’s existing licenses or obtain new ones. If the PRC government considers that we and the VIE Group were operating without the proper approvals, licenses or permits or promulgates new laws and regulations that require additional approvals or licenses or imposes additional restrictions on the operation of any part of our and the VIE Group’s business, it has the power, among other things, to levy fines, confiscate our and the VIE Group’s net income, revoke our and the VIE Group’s business licenses, and require us to discontinue our and the VIE Group’s relevant business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or impose restrictions on the affected portion of our and the VIE Group’s business. Any of these actions by the PRC government may have a material adverse effect on our and the VIE Group’s business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their ability to pay dividends or make other distributions to us. In addition, the PRC tax authorities may require our PRC subsidiaries to adjust its taxable income under the Contractual Arrangements it currently has in place with Jiayin Technology and its shareholders in a manner that would materially and adversely affect their ability to pay dividends and other distributions to us. See “Item 3. Key Information—D. Risk Factors—Risks Relating to Our Corporate Structure—Contractual Arrangements in relation to the consolidated VIE may be subject to scrutiny by the PRC tax authorities and they may determine that we or consolidated VIE owe additional taxes, which could negatively affect our financial condition and the value of your investment.”</w:t>
      </w:r>
    </w:p>
    <w:p>
      <w:pPr>
        <w:spacing w:after="0" w:line="192" w:lineRule="exact"/>
        <w:rPr>
          <w:sz w:val="20"/>
          <w:szCs w:val="20"/>
          <w:color w:val="auto"/>
        </w:rPr>
      </w:pPr>
    </w:p>
    <w:p>
      <w:pPr>
        <w:jc w:val="both"/>
        <w:ind w:firstLine="508"/>
        <w:spacing w:after="0" w:line="253" w:lineRule="auto"/>
        <w:rPr>
          <w:sz w:val="20"/>
          <w:szCs w:val="20"/>
          <w:color w:val="auto"/>
        </w:rPr>
      </w:pPr>
      <w:r>
        <w:rPr>
          <w:rFonts w:ascii="Times New Roman" w:cs="Times New Roman" w:eastAsia="Times New Roman" w:hAnsi="Times New Roman"/>
          <w:sz w:val="18"/>
          <w:szCs w:val="18"/>
          <w:color w:val="auto"/>
        </w:rPr>
        <w:t>Relevant PRC laws and regulations permit the PRC companies, such as our PRC subsidiaries and the consolidated VIE, to pay dividends only out of their retained earnings, if any, as determined in accordance with PRC accounting standards and regulations. Each of our PRC subsidiaries and the consolidated VIE that is in retained earnings position as of the end of each year is required to set aside 10% of its after-tax profits each year, if any, to fund certain statutory reserve funds until such reserve funds reach 50% of its registered capital. The aforementioned registered capital refers to the total amount of share capital of all issued shares or the total amount of capital contribution subscribed by all shareholders, as registered with the registration authority. Furthermore, each of our PRC subsidiaries and the consolidated VIE may allocate a portion of its after-tax profits based on PRC accounting standards to a discretionary surplus fund at their discretion. The statutory reserve funds and the discretionary surplus funds are not distributable as cash dividends. After our PRC subsidiaries and the consolidated VIE have generated retained earnings and met the requirements for appropriation to the statutory reserves and until such reserves reach 50% of its registered capital, respectively, our PRC subsidiaries and the consolidated VIE can distribute dividends upon approval of the shareholders. The foregoing restrictions on the ability of our PRC subsidiaries to make payments to us could have a material adverse effect on our ability to conduct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registration with PRC State Administration for Market Regulation or its local counterparts, and filed with the Ministry of Commerce or its local counterparts. In addition, (a) any foreign loan procured by our PRC subsidiaries is required to be registered with SAFE, or its local branches, and (b) each of our PRC subsidiaries may not procure loans which exceed statutory limits. Any medium or long term loan to be provided by us to a VIE of our company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foreign currency we hold, including the proceeds of our further offerings, and to capitalize our PRC operations may be negatively affected, which could adversely affect our liquidity and our ability to fund and expand our business.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w:t>
      </w:r>
    </w:p>
    <w:p>
      <w:pPr>
        <w:spacing w:after="0" w:line="3" w:lineRule="exact"/>
        <w:rPr>
          <w:sz w:val="20"/>
          <w:szCs w:val="20"/>
          <w:color w:val="auto"/>
        </w:rPr>
      </w:pPr>
    </w:p>
    <w:p>
      <w:pPr>
        <w:jc w:val="both"/>
        <w:ind w:firstLine="8"/>
        <w:spacing w:after="0" w:line="252" w:lineRule="auto"/>
        <w:tabs>
          <w:tab w:leader="none" w:pos="2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expenditures beyond their business scopes. On June 9, 2016, the SAFE promulgated the Circular on Reforming and Standardizing the Administrative Provisions on Capital Account Foreign Exchange, or SAFE Circular 16 and was recently amended on December 4, 2023. SAFE Circular 16 continue to prohibit foreign-invested enterprises from, among other things,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using RMB fund converted from its foreign exchange capitals for expenditure beyond its business scope, investment and financing (wealth management products and structured deposits with risk rating results not higher than Level II), providing loans to non-affiliated enterprises or constructing or purchasing real estate not for self-use. On October 23, 2019, SAFE promulgated the Circular of the State Administration of Foreign Exchange on Further Promoting the Facilitation of Cross-Border Trade and Investment, which removes the restrictions on domestic equity investments by non-investment foreign-invested enterprises with their capital funds, provided that certain conditions are met. If the consolidated VIE requires financial support from us or our PRC subsidiaries in the future, and we find it necessary to use foreign currency-denominated capital to provide such financial support, our ability to fund the consolidated VIE’s operations will be subject to statutory limits and restrictions, including those described above. The applicable foreign exchange circulars and rules may limit our ability to transfer the net proceeds from any future offerings to our PRC subsidiaries and convert the net proceeds into RMB, which may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Significant revaluation of the Renminbi may have a material and adverse effect on your investment. For example, to the extent that we need to convert U.S. dollars we receive from our initial public offering or future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ordinary shares or ADSs or for other business purposes, appreciation of the U.S. dollar against the Renminbi would have a negative effect on the U.S. dollar amount available to us.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As of the date of this annual report,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administration of conversion and remittance of foreign currency may limit our ability to transfer cash out of China to fund any cash and financing requirements we may have, and may affect the value of your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PRC government imposes certain measures on the convertibility of the Renminbi into foreign currencies and, in certain cases, the remittance of foreign currency out of Chinese Mainland. We receive substantially all of our net revenues in RMB. Under our current corporate structure, our Cayman Islands holding company relies on dividends and other distributions on equity paid by our PRC subsidiaries to fund any cash and financing requirements we may have. See “Item 3. Key Information—D. Risk Factors—Risks Relating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such as dividends,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In contrast, approval from or registration with appropriate government authorities is required where RMB is to be converted into foreign currency and remitted out of China to pay capital expenses such as the repayment of loans denominated in foreign currencies.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1" w:name="page62"/>
    <w:bookmarkEnd w:id="6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a significant amount of our future revenue and cash flow will be denominated in RMB, any existing and future restrictions on currency exchange may limit our ability to utilize cash generated in RMB to fund our business activities outside of the PRC or pay dividends in foreign currencies to our shareholders, including holders of the ADSs, and may limit our ability to obtain foreign currency through debt or equity financing for our onshore subsidiaries.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and withhold individual income tax on employees’ salaries as required by PRC regulations may subject us to penalties.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provident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Companies are required to make payments to the employee benefit plans for its employees in accordance with the percentages stipulated under relevant regulations and are required to withhold the amounts that are required to be contributed by employees. Companies operating in China are also required to withhold individual income tax on employees’ salaries based on the actual salary of each employee upon payment.</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Prior to March 2018, we failed to make adequate employee benefit plan payments or employee individual income tax withholdings. We have recorded accruals for estimated underpaid amounts in our financial statements accordingly. As of the date of the annual report, we have not received any notification from the relevant PRC authorities alleging that we have not made adequate payments and demanding payment of the same. We also are not aware of any material employee’s complaint or demand for payment of the same, nor have we received any notification from labor arbitration tribunals or the PRC courts regarding disputes with respect to material social welfare and housing provident fund contributions as of the date of this annual report. Remitting such underpaid amounts involves conditions on the implementation level, including, for instance, varying levels of acceptance by our employees of the employee benefit plans, some of which are beyond our control. In accordance with relevant PRC laws and regulations, we may be required to settle such underpaid amounts of employee benefit payments or employee withholding individual income tax payments on our own before a stipulated deadline, which would adversely affect our liquidity status. Furthermore, we may also be subject to late fees or fines in relation to the underpaid amounts. For instance, we may be subject to a late fee of 0.05% or 0.2%, depending on the circumstances, of the amount of overdue social insurance payments per day and a fine ranging from one to three times of the overdue amount. In addition, we may be subject to a fine in relation to the overdue employee withholding payments ranging from 50% to three times of the overdue amount. If we are subject to late fees or fines in relation to the underpaid employee benefits or withhold individual income tax on employees’ salaries, our financial condition and results of operations may be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The MOC in December 2020 have established procedures and requirements that are expected to make merger and acquisition activities in China by foreign investors more time-consuming and complex.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2" w:name="page63"/>
    <w:bookmarkEnd w:id="6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SAFE promulgated the Circular on Relevant Issues Relating to PRC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material events relating to any change of basic information (including change of such PRC residents or entities, name and operation term), increases or decreases in investment amount, transfers or exchanges of shares, or mergers or divisions. According to the Circular on Further Simplifying and Improving the Administration of the Foreign Exchange Concerning Direct Investment released on February 13, 2015 by the SAFE, local banks will examine and handle foreign exchange registration for overseas direct investment, including the initial foreign exchange registration and amendment registration, under Circular 37.</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w:t>
      </w:r>
    </w:p>
    <w:p>
      <w:pPr>
        <w:spacing w:after="0" w:line="180" w:lineRule="exact"/>
        <w:rPr>
          <w:sz w:val="20"/>
          <w:szCs w:val="20"/>
          <w:color w:val="auto"/>
        </w:rPr>
      </w:pPr>
    </w:p>
    <w:p>
      <w:pPr>
        <w:jc w:val="both"/>
        <w:ind w:firstLine="508"/>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Mr. Dinggui Yan, Mr. Guanglin Zhang and Mr. Yuanle Wu, who directly or indirectly hold shares in our Cayman Islands holding company and who are known to us as being PRC residents have completed the foreign exchange registrations in accordance with SAFE Circular 37.</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PRC residents or entities holding direct or indirect interest in our company, nor can we compel our beneficial owners to comply with the requirements of SAFE Circular 37. As a result, we cannot assure you that all of our shareholders or beneficial owners who are PRC residents or entities have complied with, and will in the future make or obtain any applicable registrations or approvals required by, SAFE Circular 37. Failure by such shareholders or beneficial owners to comply with SAFE Circular 37,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share incentive plans may subject the PRC plan participants or us to fines and other legal or administrative sanctions.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stock incentive plans in overseas non-publicly-listed companies may submit applications to SAFE or its local branches for the foreign exchange registration with respect to offshore special purpose vehicles. In the meantime, our directors, executive officers and other employees who are PRC citizens, subject to limited exceptions, and who have been granted stock options by us, may follow the Circular on Issues Concerning the Foreign Exchange Administration for Domestic Individuals Participating in Share Incentive Plan of Overseas Publicly-Listed Company, promulgated by the SAFE in 2012, or 2012 SAFE Notices. Pursuant to the 2012 SAFE Notices, PRC citizens and non-PRC citizens who reside in China for a continuous period of no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directors, executive officers and other employees who are PRC citizens or who reside in the PRC for a continuous period of not less than one year and who have been granted stock options are subject to these regulations.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w:t>
      </w:r>
    </w:p>
    <w:p>
      <w:pPr>
        <w:spacing w:after="0" w:line="1" w:lineRule="exact"/>
        <w:rPr>
          <w:sz w:val="20"/>
          <w:szCs w:val="20"/>
          <w:color w:val="auto"/>
        </w:rPr>
      </w:pPr>
    </w:p>
    <w:p>
      <w:pPr>
        <w:ind w:firstLine="8"/>
        <w:spacing w:after="0" w:line="260" w:lineRule="auto"/>
        <w:tabs>
          <w:tab w:leader="none" w:pos="2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Company—B. Business Overview—Regulation—Regulations Relating to Foreign Exchange—Regulations on Employee Share Incentive Plans of Overseas Publicly-Listed Company.”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3" w:name="page64"/>
    <w:bookmarkEnd w:id="63"/>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State Administration of Taxation, or SAT, has issued certain circulars concerning employee stock options and restricted shares. Under these circulars, our employees working in China who exercise stock options or are granted restricted shares will be subject to PRC individual income tax. Our PRC subsidiaries have obligations to file documents related to employee stock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Relating to Foreign Exchange—Regulations on Employee Share Incentive Plans of Overseas Publicly-Listed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executives and core management departments in charge of the day-to-day operations have their presence mainly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See “Item 10. Additional Information— E. Taxation—People’s Republic of China Tax Considerations.” However, the tax resident status of an enterprise is subject to determination by the PRC tax authorities and it remains to be observed with respect to the interpretation of the term “de-facto management body.” As substantially all of our management members are based in China, it remains to be observed how the tax residency rule will apply to our case. If the PRC tax authorities determine that Jiayin Group Inc. or any of our subsidiaries outside of China is a PRC resident enterprise for PRC enterprise income tax purposes, then Jiayin Group Inc.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dividends we pay on, and gains realized on the sale or other disposition of, our ADSs or Class A ordinary shares may be subject to PRC tax, at a rate of 10% in the case of non-PRC enterprises or 20% in the case of non-PRC individuals (in each case, subject to the provisions of any applicable tax treaty), if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subsidiary.</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holding company incorporated under the laws of the Cayman Islands and as such primarily rely on dividends and other distributions on equity from our PRC subsidiaries to satisfy part of our funding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Chinese Mainland and the Hong Kong Special Administrative Region for the Avoidance of Double Taxation and Tax Evasion on Income, or the Double Tax Avoidance Arrangement, and SAT Circular 81 (as defined below), such withholding tax rate may be lowered to 5% if the PRC enterprise is at least 25% held by a Hong Kong enterprise for at least 12 consecutive months prior to distribution of the dividends and is determined by the relevant PRC tax authority to have satisfied other conditions and requirements under the Double Tax Avoidance Arrangement and other applicable PRC laws. Furthermore, under the Announcement of the State Taxation Administration on Issuing the Measures for the Administration of Non-resident Taxpayers’ Enjoyment of Treaty Benefits, which became effective in January 2020, the non-resident enterprises shall determine whether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8"/>
          <w:szCs w:val="18"/>
          <w:color w:val="auto"/>
        </w:rPr>
        <w:t>they are qualified to enjoy the preferential tax treatment under the tax treaties and file the Information Reporting Form for Non-resident Taxpayers Claiming Treaty Benefits. The non-resident enterprises shall directly apply the reduced withholding tax rate when performing tax filings and collect and retain relevant supporting documents, which will be subject to post-tax filing examinations by the relevant tax authorities. There are also other conditions for enjoying the reduced withholding tax rate according to other relevant tax rules and regulations. See “Item 10. Additional Information— E. Taxation— People’s Republic of China Tax Considerations.” We cannot assure you that our determination regarding our qualification to enjoy the preferential tax treatment will not be challenged by the relevant PRC tax authority or we will be able to complete the necessary filings with the relevant PRC tax authority and enjoy the preferential withholding tax rate of 5% under the Double Taxation Arrangement with respect to dividends to be paid by our PRC subsidiaries to Geerong (HK) Limited (“Geerong (HK)”, formerly known as “Jiayin (HK) Limited”), our Hong Kong subsidiary.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Bulletin of the SAT on Several Issues Concerning the Enterprise Income Tax on Indirect Transfers of Assets by Non-Resident Enterprises, or SAT Bulletin 7, promulgated by the SAT in February 2015, if a non-resident enterprise transfers the equity interests of a PRC resident enterprise indirectly by transfer of the equity interests of an offshore holding company (other than a purchase and sale of shares issued by a PRC resident enterprise in public securities market) without a reasonable commercial purpose, the PRC tax authorities have the power to reassess the nature of the transaction and the indirect equity transfer will be treated as a direct transfer. As a result, the gain derived from such transfer, which means the equity transfer price minus the cost of equity, will be subject to PRC withholding tax at a rate of up to 10%. Under the terms of SAT Bulletin 7, a transfer which meets all of the following circumstances shall be directly deemed as having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 See “Item 4. Information on the Company—B. Business Overview— Regulation—Regulations Relating to Tax.”</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and our non-PRC resident investors may be subject to filing obligations or taxed or subject to withholding obligations in such transactions, under SAT Bulletin 7. See “Item 10. Additional Information— E. Taxation—People’s Republic of China Tax Considerations.” For transfer of shares in our company by investors that are non-PRC resident enterprises, our PRC subsidiaries may be requested to assist in the filing under SAT Bulletin 7. As a result, we may be required to expend valuable resources to comply with SAT Bulletin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including Internet and e-commerce companies,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ADSs.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factors, including the following:</w:t>
      </w:r>
    </w:p>
    <w:p>
      <w:pPr>
        <w:spacing w:after="0" w:line="225" w:lineRule="exact"/>
        <w:rPr>
          <w:sz w:val="20"/>
          <w:szCs w:val="20"/>
          <w:color w:val="auto"/>
        </w:rPr>
      </w:pPr>
    </w:p>
    <w:p>
      <w:pPr>
        <w:jc w:val="right"/>
        <w:ind w:left="5540" w:right="5520" w:hanging="5023"/>
        <w:spacing w:after="0" w:line="532" w:lineRule="auto"/>
        <w:tabs>
          <w:tab w:leader="none" w:pos="10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users, or our industry;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5" w:name="page66"/>
    <w:bookmarkEnd w:id="65"/>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consumer finance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service offerings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online consumer finance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shares or ADSs;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need to rely primarily on price appreciation of our ADSs for return on your investment as you may not receive any dividends in any given year which is permitted under our dividend policy.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directors. On March 28, 2023, our board of directors approved and adopted a dividend policy to declare and distribute cash dividend twice each fiscal year, starting from 2023, at an aggregate amount of no less than 15% of the net income after tax of the Company in the previous fiscal year. On November 19, 2024, our board of directors approved and adopted an amended dividend policy (the “Amended Dividend Policy”) to replace the prior dividend policy in its entirety, with immediate effect. Under the Amended Dividend Policy, we may choose to declare and distribute a cash dividend once each fiscal year, starting from 2025, at an aggregate amount of no less than 15% of our net income after tax in the previous fiscal year. On March 27, 2025, in order to provide investors with higher returns, our board of directors approved and adopted a further adjustment to the Amended Dividend Policy to increase the annual dividend amount such that we may choose to declare and distribute a cash dividend once each fiscal year, starting from 2025, at an aggregate amount of around 30% of our net income after tax in the previous fiscal year. The determination to make dividend distributions in any particular fiscal year will be made at the discretion of our board of directors based upon factors such as our results of operations, cash flow, general financial condition, capital requirements, contractual restrictions and other factors as our board of directors may deem relevant. Even if our board of directors decides to pay dividends, the form, frequency and amount will depend upon factors such as our results of operations, cash flow, general financial condition, capital requirements, contractual restrictions and other factors as our board of directors may deem relevant. Accordingly, the return on your investment in our ADSs will likely depend primarily upon any future price appreciation of our ADSs. There is no guarantee that our ADSs will appreciate in value in the future or even maintain the price at which you purchased the ADSs. You may not realize a return on your investment in our ADSs and you may even lose your entire investment in our ADSs.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The Class A ordinary shares held by our existing shareholders may be sold in the public market subject to volume and other restrictions as applicable provided in Rules 144 and 701 under the Securities 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6" w:name="page67"/>
    <w:bookmarkEnd w:id="6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holders of our ordinary shares may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plan will be fully consummated or that any share repurchase plan will enhance long-term shareholder value, and share repurchases could increase the volatility of the trading price of the ADSs and could diminish our cash reserves.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16, 2022, we announced that our board of directors authorized a share repurchase plan under which we may repurchase our ordinary shares in the form of ADSs with an aggregate value of US$10.0 million during the 12-month period beginning on June 13, 2022. Starting from June 2023, our board of directors approved an extension of the share repurchase plan for a period of 12 months once each year, with the latest extension approved on June 4, 2025. Pursuant to the extended share repurchase plan, the Company may repurchase its ordinary shares through June 12, 2026 with an aggregate value not exceeding the remaining balance under the share repurchase plan. In August 2025, the Board approved an adjustment to the existing share repurchase plan, pursuant to which the aggregate value of ordinary shares authorized for repurchase under the plan through June 12, 2026 shall not exceed US$80 million.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repurchased approximately 4.6 million of its ADSs for approximately US$30.4 million under the share repurchase plan.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also has the discretion to authorize additional share repurchase plans in the future. The share repurchase plans do not obligate us to repurchase any specific dollar amount or to acquire any specific number of ADSs and/or shares. We cannot guarantee that any share repurchase plan will enhance long-term shareholder value. The share repurchase plans could increase the volatility of the trading price of the ADSs and may be suspended or terminated at any time. Furthermore, share repurchases could diminish our cash reserves.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the voting of the underlying Class A ordinary shares which are represented by your ADSs.</w:t>
      </w:r>
    </w:p>
    <w:p>
      <w:pPr>
        <w:spacing w:after="0" w:line="15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As a holder of our ADSs, you will not have any direct right to attend general meetings of our shareholders or to cast any votes at such meetings. You will only be able to exercise the voting rights which attach to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as the holder of the underlying Class A ordinary shares which are represented by your ADSs. Upon receipt of your voting instructions, the depositary will endeavor to vote the underlying Class A ordinary shares in accordance with your instructions in the event voting is by poll, and in accordance with instructions received from a majority of holders of ADSs who provide instructions in the event voting is by show of hands. The depositary will not join in demanding a vote by poll. You will not be able to directly exercise any right to vote with respect to the underlying Class A ordinary shares represented by your ADSs unless you withdraw such shares and become the registered holder of such shares prior to the record date for the general meeting. Under our amended and restated memorandum and articles of association, the minimum notice period required to be given by our company to our registered shareholders for convening a general meeting is seven calendar days. When a general meeting is convened, you may not receive sufficient advance notice to enable you to withdraw the underlying Class A ordinary shares which are represented by your ADSs and become the registered holder of such shares prior to the record date for the general meeting to allow you to attend the general meeting or to vote directly with respect to any specific matter or resolution which is to be considered and voted upon at the general meeting. In addition, under our amended and restated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which are represented by your ADSs and becoming the registered holder of such shares prior to the record date, so that you would not be able to attend the general meeting or to vote directly. Where any matter is to be put to a vote at a general meeting, the depositary will, if we request, and subject to the terms of the deposit agreement, endeavor to notify you of the upcoming vote and to deliver our voting materials to you. We cannot assure you that you will receive the voting materials in time to ensure that you can instruct the depositary to vote the underlying Class A ordinary shares which are represented by your ADSs. In addition, the depositary and its agents are not responsible for failing to carry out voting instructions or for their manner of carrying out your voting instructions. This means that you may not be able to exercise your right to direct the voting of the underlying Class A ordinary shares which are represented by your ADSs, and you may have no legal remedy if the underlying Class A ordinary shares are not voted as you requested.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holders and beneficial owners of ADSs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has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our underlying Class A ordinary shares represented by your ADSs if you do not instruct the depositary how to vote such shares, which could adversely affect your interests.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deposit agreement for our ADSs, the depositary will give us (or our nominee) a discretionary proxy to vote our Class A ordinary shares underlying your ADSs at shareholders’ meetings if you do not give voting instructions to the depositary as to how to vote the Class A ordinary shares underlying your ADSs at any particular shareholders’ meeting, unless:</w:t>
      </w:r>
    </w:p>
    <w:p>
      <w:pPr>
        <w:spacing w:after="0" w:line="17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may have a material adverse impact on shareholders;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underlying Class A ordinary shares represented by your ADSs from being voted at that meeting, absent the situations described above, and it may make it more difficult for shareholders to influence our management. Holders of our ordinary shares are not subject to this discretionary proxy.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by you in a state or federal court in the City of New York, and you, as a holder of our ADSs, will have irrevocably waived any objection which you may have to the laying of venue of any such proceeding, and irrevocably submitted to the exclusive jurisdiction of such courts in any such action or proceeding instituted by any person. Also, we may amend or terminate the deposit agreement without your consent. If you continue to hold your ADSs after an amendment to the deposit agreement, you agree to be bound by the deposit agreement as amended. See “Item 12. Description of Securities other than Equity Securities—D. American Depositary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our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None of our directors and executive officers resides in Hong Kong, and their assets are primarily located outside Hong Kong.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federal or state courts of the United States (and the Cayman Islands is not a party to any treaties for the reciprocal enforcement or recognition of such judgments), however,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(a) is 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judgment of United States courts will not be directly enforced in Hong Kong. There are currently no treaties or other arrangements providing for reciprocal enforcement of foreign judgments between Hong Kong and the United States.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(i) for a debt or a definite sum of money (not being taxes or similar charges to a foreign government taxing authority or a fine or other penalty) and (ii)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w:t>
      </w:r>
    </w:p>
    <w:p>
      <w:pPr>
        <w:spacing w:after="0" w:line="4" w:lineRule="exact"/>
        <w:rPr>
          <w:sz w:val="20"/>
          <w:szCs w:val="20"/>
          <w:color w:val="auto"/>
        </w:rPr>
      </w:pPr>
    </w:p>
    <w:p>
      <w:pPr>
        <w:jc w:val="both"/>
        <w:ind w:firstLine="8"/>
        <w:spacing w:after="0" w:line="253" w:lineRule="auto"/>
        <w:tabs>
          <w:tab w:leader="none" w:pos="2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in conflict with a prior Hong Kong judgment. 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 and we conduct the majority of our operations in China and all of our directors and officers reside outside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as amended from time to time, the Companies Act (As Revised) of the Cayman Islands and the common law of the Cayman Islands. The rights of shareholders to take action against the directors, actions by minority shareholders and the fiduciary duties of our directors owed to us under Cayman Islands law are to a large extent governed by the common law of Cayman Islands. The common law of Cayman Islands is derived in part from comparatively limited judicial precedent in Cayman Islands as well as from the common law of England, the decisions of whose courts are of persuasive authority, but are not binding, on a court in Cayman Islands. The rights of our shareholders and the fiduciary duties of our directors under Cayman Islands law are not as clearly established as they would be under statutes or judicial precedent in some jurisdictions in the United States. In particular, Cayman Islands have a less developed body of securities laws than the United States. Some U.S. states, such as Delaware, have more fully developed and judicially interpreted bodies of corporate law than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register of members of these companies (save for our memorandum and articles of association, special resolutions passed by our shareholders and our register of mortgages and charges). Under Cayman Islands law, the names of current directors can be obtained from a search conducted at the Registrar of Companies in the Cayman Islands.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as a company primarily operating in China, there are significant legal and other obstacles for U.S. authorities to obtaining information needed for investigations or litigations. In China, there are significant legal and other obstacles to providing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or other jurisdictions may not be efficient in the absence of mutual and practical cooperation mechanism. Similar limitations apply to the pursuit of actions against individuals, including officers, directors and individual gatekeepers, who may have engaged in fraud or other wrongdoing. Moreover, local authorities often are constrained in their ability to assist U.S. authorities and overseas investors more generally. According to Article 177 of the PRC Securities Law which became effective in March 2020, no overseas securities regulator is allowed to directly conduct investigation or evidence collection activities within the territory of the PRC, and without the consent by the Chinese securities regulatory authorities and the other competent governmental agencies, no entity or individual may provide documents or materials related to securities business to any foreign party. Accordingly, without the consent of the competent PRC securities regulators and relevant authorities, no organization or individual may provide the documents and material relating to securities business activities to overseas parties. While detailed interpretation of or implementation rules under the article have yet to be promulgated, the inability for an overseas securities regulator to directly conduct investigations or evidence collection activities within China and the potential obstacles for information provision may further increase difficulties faced by you in protecting your interests.</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Furthermore, according to Article 177 of the PRC Securities Law which became effective in March 2020, no overseas securities regulator is allowed to directly conduct investigations or evidence collection activities within the PRC territory.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our public shareholders and holders of our ADSs may have more difficulty in protecting their interests through actions against us, our management, our directors or our major shareholders and limited remedies than would shareholders of a corporation incorporated in a jurisdiction in the United States.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will limit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 dual-class share structure such that our ordinary shares consist of Class A ordinary shares and Class B ordinary shares with disparate voting powers. In respect of all matters subject to a shareholders’ vote, each Class A ordinary share is entitled to one vote, and each Class B ordinary share is entitled to ten votes, voting together as one class. Each Class B ordinary share is convertible into one Class A ordinary share at any time by the holder thereof. Class A ordinary shares are not convertible into Class B ordinary shares under any circumstances. As of March 31, 2026, Mr. Dinggui Yan, the beneficial owner of our Class B ordinary shares, beneficially owned approximately 91.5% of the aggregate voting power of our company. As a result, Mr. Dinggui Yan will have considerable influence over matters such as electing directors and approving material mergers, acquisitions or other business combination transactions. Upon any direct or indirect sale, transfer, assignment or disposition of Class B ordinary share by a shareholder to any person or entity which is not an affiliate of such holder, or the direct or indirect transfer or assignment of the voting power attached to such number of Class B ordinary shares through voting proxy or otherwise to any person or entity which is not an affiliate of such holder, such Class B ordinary shares shall be automatically and immediately converted into the equivalent number of Class A ordinary shares. The concentrated control associated with our dual-class share structure will limit your ability to influence corporate matters and could also discourage others from pursuing any potential merger, takeover or other change of control transactions, which could have the effect of depriving the holders of our Class A ordinary shares and the ADSs of the opportunity to sell their shares at a premium over the prevailing market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our ADSs.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1" w:name="page72"/>
    <w:bookmarkEnd w:id="7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discourage a third party from acquiring us and adversely affect the rights of holders of our ordinary shares and ADSs.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contain certain provisions that could limit the ability of others to acquire control of our company,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 holders of the opportunity to sell their shares or ADSs at a premium over the prevailing market price by discouraging third parties from seeking to obtain control of our company in a tender offer or similar transactions.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have substantial influence over our company and their interests may not be aligned with the interests of our other shareholders.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Mr. Dinggui Yan, our founder, director and chief executive officer, beneficially owned approximately 91.5% of the total voting power of our Company. As a result, he has substantial influence over our business, including significant corporate actions such as mergers, consolidations, sales of all or substantially all of our assets, election of directors and other significant corporate actions.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Yan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 addition, the significant concentration of share ownership may adversely affect the trading price of the ADSs due to investors’ perception that conflicts of interest may exist or arise. In addition, this concentrated control will limit your ability to influence corporate matters and could also discourage others from pursuing any potential merger, takeover or other change of control transactions, which could have the effect of depriving the holders of our ordinary shares and our ADSs of the opportunity to sell their shares at a premium over the prevailing market price. For more information regarding our principal shareholders and their affiliated entities, see “Item 6. Directors, Senior Management and Employees—E. Share Ownership.”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 awards, which may result in increased share-based compensation expenses.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Jiayin Technology first adopted our 2016 Share Incentive Plan in September 2016, which allowed Jiayin Technology to grant share-based compensation awards to our founders, employees and officers to incentivize their performance and align their interests with ours. We account for compensation costs for all share options using a fair-value based method and recognize expenses in our consolidated statements of comprehensive income in accordance with U.S. GAAP. In February 2019, we adopted a new share incentive plan, or the 2019 Share Incentive Plan, which became effective after the completion of our initial public offering in May 2019. All outstanding options granted under the 2016 Share Incentive Plan have been cancelled or replaced with options granted under the 2019 Share Incentive Plan. As of December 31, 2025, we had granted options to purchase an aggregate of 73,938,000 Class A ordinary shares (excluding options that were forfeited, cancelled, or exercised after the relevant grant date) and restricted share units (“RSUs”) to receive an aggregate of 29,800,000 Class A ordinary shares (excluding RSUs that were forfeited, cancelled, or vested after the relevant grant date), pursuant to the 2019 Share Incentive Plan. See “Item 6. Directors, Senior Management and Employees—B. Compensation—Share Incentive Plans.”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granting of share incentive awards is of significant importance to our ability to attract and retain employees, and we will continue to grant share incentive awards to employees in the future. As a result, our expenses associated with share-based compensation may increase, which may have an adverse effect on our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2" w:name="page73"/>
    <w:bookmarkEnd w:id="72"/>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principal shareholders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offered the same protections or information that would be made available to you if you were investing in a U.S. domestic issuer.</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Stock Market Rules. We currently follow and intent to continue to follow our home country practice in lieu of certain requirements of the Rule 5600 Series of the Nasdaq Stock Market Rules, including:</w:t>
      </w:r>
    </w:p>
    <w:p>
      <w:pPr>
        <w:spacing w:after="0" w:line="180" w:lineRule="exact"/>
        <w:rPr>
          <w:sz w:val="20"/>
          <w:szCs w:val="20"/>
          <w:color w:val="auto"/>
        </w:rPr>
      </w:pPr>
    </w:p>
    <w:p>
      <w:pPr>
        <w:ind w:left="1140" w:hanging="380"/>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 (although all of the members of the audit committee must be independent under the Exchange Act);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audit committee of at least three independent directors;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nominating and corporate governance committee consisting entirely of independent directors;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annual meeting of shareholders no later than one year after the end of our fiscal year.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Stock Market Rules and, as a result, can rely on exemptions from certain corporate governance requirements that provide protection to shareholders of other companies.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since Mr. Dinggui Yan beneficially owns more than 50% of our total voting power. For so long as we remain a controlled company under this definition, we are also permitted to elect to rely on certain exemptions from corporate governance rules. As a result, you will not have the same protection afforded to shareholders of companies that are subject to these corporate governance requirements.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or PFIC, for United States federal income tax purposes, United States Holders of our ADSs or Class A ordinary shares could be subject to adverse United States federal income tax consequences.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will be a passive foreign investment company, or PFIC, for United States federal income tax purposes for any taxable year if, applying the applicable look-through rules, either (i) at least 75% of our gross income for such year is passive income or (ii) at least 50% of the value of our assets (generally determined based on an average of the quarterly values of the assets) during such year is attributable to assets that produce or are held for the production of passive income. Based on the market price of our ADSs, the value of our assets and the nature and composition of our income and assets, we do not believe that we were a PFIC for United States federal income tax purposes for our taxable year ending December 31, 2024 and December 31, 2025. However, we believe that we were a PFIC for our taxable year ending December 31, 2023, although there can be no assurance in this regard. A separate determination must be made after the close of each taxable year as to whether we were a PFIC for that year. Moreover, the application of the PFIC rules is subject to uncertainty in several respects, and we cannot assure you that the United States Internal Revenue Service, or the IRS, will not take a contrary position to any determination we make. Accordingly, there can be no assurance that we will or will not be treated as a PFIC for any taxable year or that the IRS will not take a contrary position to any determination we make.</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Changes in the value of our assets and/or the nature or composition of our income or assets may cause us to be or become a PFIC. The determination of whether we will be a PFIC for any taxable year may depend in part upon the value of our goodwill and other unbooked intangibles not reflected on our balance sheet (which may depend upon the market price of our ADSs or Class A ordinary shares from time to time, which may fluctuate significantly) and also may be affected by how, and how quickly, we spend our liquid assets and the cash we generate from our operations and raise in any offering. In estimating the value of our assets and other unbooked intangibles, we have taken into account our market capitalization. Among other matters, if our market capitalization declines, we may be more likely to be a PFIC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unbooked intangibles, which may result in our being a PFIC for one or more taxable years.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3" w:name="page74"/>
    <w:bookmarkEnd w:id="7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(as we believe we were for our taxable year ending December 31, 2023 (but not for our taxable years ending December 31, 2024 and December 31, 2025)) during which a United States Holder (as defined in “Item 10. Additional Information––E. Taxation––United States Federal Income Tax Considerations”) hold our ADSs or Class A ordinary shares, certain adverse United States federal income tax consequences could apply to such United States Holder, including burdensome reporting requirements. United States Holders who have held our ADSs or Class A ordinary shares during 2023 are strongly encouraged to consult their tax advisors regarding the application of the PFIC rules and to refer to “Item 10. Additional Information— E. Taxation—Passive Foreign Investment Company—U.S. Holders During 2023.” Prospective investors who are United States Holders are strongly encouraged to consult their tax advisors regarding the potential application of the PFIC rules. See “Item 10. Additional Information— E. Taxation—Passive Foreign Investment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U.S. public company, we incur significant legal, accounting and other expenses that we have not incurred as a private company. The Sarbanes-Oxley Act of 2002, as well as rules subsequently implemented by the SEC and the Nasdaq, impose various requirements on the corporate governance practices of public companies.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These rules and regulations have increased our legal and financial compliance costs and made some corporate activities more time-consuming and costly. For example, as a result of becoming a public company, we need to increase the number of independent directors and adopt policies regarding internal controls and disclosure controls and procedures. In addition, as we ceased to be an “emerging growth company” starting from the fiscal year ended December 31, 2024, we need to incur significant expenses and devote substantial management effort toward ensuring compliance with the requirements of Section 404 of the Sarbanes-Oxley Act of 2002 and the other rules and regulations of the SEC that an emerging growth company is exempt from.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have incurred and may continue to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Our shareholders previously brought securities class action against us, which was subsequently settled in 2022. If we were involved in a class action suit again,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9"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History and Development of the Company</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origin of our business can be traced back to 2011. Mr. Dinggui Yan, our founder, director and chief executive officer, commenced a consumer finance platform in 2011 through several entities controlled by him in China. In June 2015, Mr. Dinggui Yan acquired Shanghai Jiayin Technology Co., Ltd., or Jiayin Technology, a shell company previously known as Furen Technology Limited and listed on the National Equities Exchange and Quotations Co., Ltd., or the NEEQ.</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2015, Shanghai Wuxingjia Information Technology Co., Ltd. (“Shanghai Wuxingjia”, formerly known as “Shanghai Niwodai Internet Services Co., Ltd.”) was established as a wholly-owned subsidiary of Jiayin Technology to develop our online consumer finance platform business. Mr. Dinggui Yan launched Shanghai Caiyin Asset Management Co., Ltd., or Shanghai Caiyin, in September 2015. We entered into a collaboration agreement with Shanghai Caiyin in 2015 to engage Shanghai Caiyin to provide post-origination loan management services and manage our individual investor assurance program for loans facilitated prior to April 28, 2018. In December 2015, Shanghai Caiyin also acquired the servicing rights and obligations of all outstanding loan contracts facilitated by Niwodai Finance, which operated our founder’s consumer finance platform at that time, as well as the obligation to continue to provide guarantee on those loans. Niwodai Finance subsequently ceased to operate the individual financing business. We launched our online individual financing platform in December 2015.</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December 2017, we incorporated Jiayin Group Inc. under the laws of the Cayman Islands as our offshore holding company, and in January 2018, we established a wholly-owned subsidiary in the British Virgin Islands, Jiayin Holdings Limited, and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wholly-owned subsidiary in Hong Kong, Geerong (HK), as our intermediate holding companies, to facilitate our initial public offering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Jiayin Technology was delisted from NEEQ in April 2018.</w:t>
      </w:r>
    </w:p>
    <w:p>
      <w:pPr>
        <w:spacing w:after="0" w:line="20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2018, we incorporated Shanghai Kunjia Technology Co., Ltd., or Shanghai Kunjia, as a wholly-foreign owned entity in China. As a result of the restructuring in 2018, we hold equity interest in Shanghai Kunjia through our current offshore structure. At the same time, Shanghai Kunjia entered into a series of contractual arrangements with Jiayin Technology and its shareholders, among which several agreements were terminated and simultaneously replaced by a series of contractual arrangements with substantially same terms in October 2018 for the purpose of registering pledges of equity interest in Jiayin Technology with the government authority. As a result of these contractual arrangements, or the Contractual Arrangements, we are the primary beneficiary of Jiayin Technology and its subsidiaries for accounting purposes, and, therefore, have consolidated the financial results of Jiayin Technology and its subsidiaries in our consolidated financial statements in accordance with U.S. GAAP.</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May 10, 2019, our ADSs commenced trading on the NASDAQ under the symbol “JFIN”. We raised a total of approximately US$35.0 million in net proceeds from the initial public offering, after the underwriter’s full exercise of their option to purchase additional ADSs, and after deducting underwriting discounts and commissions as well as other estimated offering expenses.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2019, we disposed of Shanghai Caiyin, a consolidated affiliated entity. On September 16, 2019, Shanghai Wuxingjia a consolidated affiliated entity of our Company, entered into an agreement with Shenzhen Rongxinbao Non-Financial Guarantee Co., Ltd. (“Shenzhen Rongxinbao”), an independent third-party licensed financing guarantee company, and Shanghai Jiayin Finance Services Co., Ltd. (“Shanghai Jiayin”), a company controlled by Mr. Dinggui Yan, the founder, director and chief executive officer of our Company, which wholly owns the equity interest of Shanghai Caiyin, pursuant to which Shanghai Jiayin agreed to transfer all of its equity interest in Shanghai Caiyin to Shenzhen Rongxinbao.</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2019, we conducted a business combination with Jiangxi Yunkaijianming, an innovative fintech-driven platform connecting financial institutions. Prior to the combination, Jiangxi Yunkaijianming and our Company were under the common control of Mr. Dinggui Yan, the founder, director and chief executive officer of our Company. After the combination, Jiangxi Yunkaijianming became a wholly-owned subsidiary of our Company. The combination is intended to support the growth of our institutional funding sources, as well as to strengthen our big data analytics and fintech R&amp;D.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2020, our wholly owned subsidiary Geerong (HK) acquired, from China Smartpay Group Holdings Limited (“China Smartpay”), a Hong Kong listed company, 35% equity interest in Keen Best, a wholly-owned subsidiary of China Smartpay, incorporated in the British Virgin Islands holding 100% equity interests in certain PRC entities engaging in microcredit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November 2020, the outstanding loan balance of our and the VIE Group’s legacy P2P lending business was reduced to zero.</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2021, our wholly consolidated VIE, Jiayin Technology, entered into a framework acquisition agreement with Shanghai Bweenet and its shareholders, pursuant to which, Jiayin Technology agreed, subject to certain conditions, to subscribe for certain equity interests of Shanghai Bweenet and acquire certain equity interests held by current shareholders of Shanghai Bweenet, for an aggregate consideration of RMB95.0 million. Following the completion of the transaction, Jiayin Technology owned 95% of the equity interests of Shanghai Bweenet.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29, 2021, Jiayin Technology entered into a share acquisition framework agreement with Shenzhen Rongxinbao, an independent third-party licensed financing guarantee company, pursuant to which, Jiayin Technology agreed to transfer 95% equity interest of Shanghai Bweenet to Shenzhen Rongxinbao for an aggregate consideration of RMB93.3 million. Following the completion of the proposed transaction, Jiayin Technology no longer owned any equity interest in Shanghai Bweenet.</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December 29, 2021, Jiayin Finance entered into a sale agreement to transfer its 70% equity interest held in Shanghai Zhundian Enterprise Service Co., Ltd. (“Shanghai Zhundian”) (formerly known as “Shanghai Limahui E-Commerce Co., Ltd”) to Shenzhen Rongxinbao, an independent third-party licensed financing guarantee company.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August 2021, Hainan Yinke, was incorporated as a wholly-owned PRC subsidiary of Geerong Yunke. Hainan Yinke provides guarantee services to borrowers facilitated by us and the VIE Group.</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January 28, 2022, Shanghai Niwodai Internet Services Co., Ltd. changed its corporate name to Shanghai Wuxingjia Information Technology Co., Ltd., which was further deregistered on April 11,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2023, we disposed our 100% equity interest in Fujian Zhuoqun Jieneng Information Technology Co., Ltd and its subsidiaries.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5" w:name="page76"/>
    <w:bookmarkEnd w:id="7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18th Floor, Building No. 1, Youyou Century Plaza, 428 South Yanggao Road, Pudong New Area, Shanghai 200122, People’s Republic of China. Our telephone number at this address is +86 21-6190-6826. Our registered office in the Cayman Islands is located at the offices of Maples Corporate Services Limited at PO Box 309, Ugland House, Grand Cayman, KY1-1104, Cayman Islands. Our agent for service of process in the United States is Cogency Global Inc., located at 10 East 40th Street, 10th Floor, New York NY, 10016.</w:t>
      </w:r>
    </w:p>
    <w:p>
      <w:pPr>
        <w:spacing w:after="0" w:line="180"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are one of the leading fintech platforms in China committed to facilitating effective, transparent, secure and fast connections between underserved individual borrowers and financial institutions. We and the VIE Group operate a highly secure and open platform with a comprehensive risk management system and a proprietary and effective risk assessment model which employs advanced big data analytics and sophisticated algorithms to accurately assess the risk profiles of potential borrowers. Our and the VIE Group’s online platform embraces significant opportunities presented by a financial system that leaves many creditworthy individuals underserved. We and the VIE Group provide borrowers with fast and convenient access to credit at affordable and competitive rates.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strategically focus on facilitating consumer loans primarily with a term of no more than 12 months, as we and the VIE Group believe such loan facilitation services are best positioned to generate attractive returns for our and the VIE Group’s funding partners, and at the same time, capture the financing needs of qualified borrowers. With a highly scalable capital-light business model, we and the VIE Group have been able to grow our and the VIE Group’s platform and reinforce our and the VIE Group’s strengths through network effects.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and the VIE Group’s borrowers are typically creditworthy individuals with stable salary income and/or credit history but underserved by traditional financial institutions. We and the VIE Group primarily utilize diverse online borrower acquisition channels including online advertising channels such as websites, search engines, app stores, information feeds as well as online partnerships with online traffic marketplaces which have access to quality borrowers. Our and the VIE Group’s online average borrower acquisition cost per new borrower was RMB446.2 (US$63.8) in 2025, representing 5.2% of the average loan principal borrowed by our and the VIE Group’s borrowers in 2025.</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the VIE Group operate a highly secure and open platform with a proprietary and effective risk assessment model and a comprehensive risk management system. We and the VIE Group build our and the VIE Group’s risk assessment model based on our and the VIE Group’s first-hand and proprietary user and transaction data generated from our and the VIE Group’s loan process as well as multiple layers of background and behavioral data from third-party sources. Our and the VIE Group’s model employs advanced big data analytics and sophisticated algorithms to accurately assess the risk profiles of potential borrowers. We and the VIE Group have also established reliable systematic risk management procedures. To supplement our and the VIE Group’s risk management efforts, we and the VIE Group also selectively collaborate with expert consultants with strong credit assessment capabilities to help us further screen and re-assess the creditworthiness of applicants and identify creditworthy potential borrowers based on desensitized user data.</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loans that we and the VIE Group facilitate are funded by institutional funding partners, including commercial banks, trusts, consumer finance companies and microcredit companies. In 2025, we and the VIE Group facilitated an aggregate loan volume of RMB129.0 billion (US$18.4 billion), funded by 54 institutional funding partners. We and the VIE Group generate a substantial majority of our and the VIE Group’s total revenues from services we and the VIE Group provided to institutional funding partners and cooperated financing guarantee companies. As a leading technology platform, we and the VIE Group do not use our and the VIE Group’s own capital to invest in loans facilitated through our and the VIE Group’s platform in Chinese Mainland.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and the VIE Group’s Users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target the large and growing number of creditworthy individual borrowers in China who are underserved by traditional financial institutions and receptive to online finance solutions. Our and the VIE Group’s borrowers typically belong to the young urban working class with stable salary and/or credit history.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the launch of our and the VIE Group’s business through December 31, 2025, we and the VIE Group had successfully facilitated loan transactions for over 20.3 million borrowers. The number of our and the VIE Group’s borrowers grew by 14.4 times from approximately 0.2 million in 2016 to approximately 3.0 million in 2025. We and the VIE Group strategically target the young generation and cultivate their loyalty on our and the VIE Group’s platform, aiming to capture the vast growth opportunities as our and the VIE Group’s borrowers enter into different stages of their lives and qualify for higher credit limits. In 2025, 64.2% of our and the VIE Group’s borrowers were between 23 and 40 years of age.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Funding Partners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loans that we and the VIE Group facilitate are funded by institutional funding partners, including commercial banks, trusts, consumer finance companies and microcredit companies.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2025, we and the VIE Group had 54 institutional funding partners. We and the VIE Group expect these institutional funding partners to provide stable funding to borrowers on our and the VIE Group’s platform, which will allow us to increase our and the VIE Group’s loan facilitation volume and generate more revenue. We and the VIE Group will further develop our and the VIE Group’s cooperation with institutional funding partners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and the VIE Group’s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Facilitation Services Offered to Borrowers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facilitate primarily standard loan facilitation services online, which are all unsecured consumer loans to our and the VIE Group’s borrowers. All of the loans facilitated through our and the VIE Group’s platform feature fixed interest rates. To provide a transparent platform, interest rates, service fees and other charges are all clearly disclosed to borrowers upfront. We and the VIE Group strategically design our and the VIE Group’ loan facilitation services to target borrowers with different types of available credentials and therefore different credit limits varying from RMB500 to RMB200,000.</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the VIE Group believe that our and the VIE Group’s dedication and devotion to superior user service is a significant contributor to our and the VIE Group’s growth. To better serve our and the VIE Group’s borrowers, we and the VIE Group adopt user-oriented business practices, including offering user service hotlines and online user service support on our and the VIE Group’s mobile apps and WeChat account. We and the VIE Group also offer clear and concise guidelines on our and the VIE Group’s website and within our and the VIE Group’s app to guide borrowers throughout the transaction process. In addition, we and the VIE Group provide an online discussion forum, where our and the VIE Group’s current and potential borrowers can communicate with each other and our and the VIE Group’s user service agents. Finally, our and the VIE Group’s user service team frequently reaches out to our and the VIE Group’s users to seek their feedback. We and the VIE Group maintain a user complaint feedback channel to improve our and the VIE Group’s products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Offered to Institutional Funding Partners and Licensed Financing Guarantee Companies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introduce borrowers to institutional funding partners, including commercial banks, trusts, consumer finance companies and microcredit companies, and provide preliminary risk assessment services as well as other services to them. The service arrangement between our and the VIE Group’s institutional funding partners and us varies depending on the type of institutional funding partners. For institutional funding partners with a license to extend loans, such as banks, online micro-credit companies, they typically extend loans with their own funds directly to the borrowers introduced by us. In 2025, we and the VIE Group facilitated an aggregate loan volume of RMB129.0 billion (US$18.4 billion), funded by 54 institutional funding partners.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and the VIE Group also provide guarantee services through our and VIE Group’s licensed financing guarantee subsidiaries or through cooperation with third-party licensed financing guarantee companies. Under the guarantee services through our and VIE Group’s licensed financing guarantee subsidiaries, such subsidiaries are obligated to place deposits directly to institutional funding partners with an agreed percentage of outstanding loan balance subject to guarantee. We and the VIE Group record deposits to funding banks under restricted cash, and deposits to institutional funding partners other than funding banks under prepaid expenses and other current assets, net on the consolidated balance sheets, respectively. Under the cooperation with the third-party licensed financing guarantee companies, such companies initially reimburse the loan principal and interest to the institutional funding partners upon borrower’s default. Although we and the VIE Group do not have direct contractual obligation to the institutional funding partners for defaulted principal and interest, we and the VIE Group provide back-to-back guarantee to the third-party licensed financing guarantee companies. As of December 31, 2024 and 2025, the maximum potential future payments, including all outstanding principal and interest for which we and the VIE Group provides primary guarantee, were RMB2.8 billion and RMB9.4 billion (US$1.3 billion), respectively. For certain off-balance sheet loans facilitated between borrowers and institutional funding partners, we and the VIE Group may provide commitment letters to the institutional funding partners or the third-party licensed financing guarantee companies to cover any residual obligation of the third-party licensed financing guarantee companies. As of December 31, 2024 and 2025, the outstanding loan balance for which we and the VIE Group provide commitment letter was RMB29.2 billion and RMB33.1 billion (US$4.7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operation and technology empowerment model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our joint operation and technology empowerment model, we provide a comprehensive suite of tailored technology solutions at various stages of the credit facilitation process to meet the needs of our financial institution partners, encompassing customer acquisition, credit assessment, and operations. We act as a technological bridge, embedding our proprietary technology solutions within the ecosystems of leading internet platforms to connect them with financial institutions. By integrating with leading internet platforms across diverse consumption scenarios—including short-form video, e-commerce, travel, and local services—we are able to reach a broader demographic of internet users. We have also expanded our collaborations with financial institutions to engage their existing customer bases. In these partnerships, we serve as a technology provider and empower our partners to improve the user experience and more effectively monetize their user bases through our differentiated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and the VIE Group’s Platform and Transaction Processes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provide a streamlined and smooth user experience for borrowers. The process on our and the VIE Group’s mobile apps and website is designed to be simple, seamless and efficient while our and the VIE Group’s platform leverages sophisticated, proprietary technologies to make it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Process for Institutional Funding Partners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and the VIE Group’s institutional funding partners provide us with pre-determined criteria for borrowers and we and the VIE Group will use our and the VIE Group’s credit assessment model to assess the applicants in our and the VIE Group’s platform and select qualified applicants for the institutional funding partners for further approval. Institutional funding partners will assess the applicants through their own credit assessment process and once they approve the loans, our and the VIE Group’s system will generate a multilateral loan agreement among the borrower, the institutional funding partner, guarantor and us, which will become effective immediately. We and the VIE Group will then instruct the institutional funding partner to transfer the funding to the borrower’s account directly and we and the VIE Group are also not involved in the repayment of principal and interest between borrowers and institutional funding partners.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diagram illustrates the typical loan facilitation process flow and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57850" cy="3111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Process for Borrowers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Application</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 applicant can submit a loan application after he or she has registered a user account using a valid mobile phone number. First-time applicants are required to present their PRC identity cards to us via their phone camera or webcam for identity verification. The images of their identity cards will be automatically captured and recognized by our and the VIE Group’s authentication module and authenticated against personal identity data in the database of the Ministry of Public Security of China. In addition, based on the instructions within our and the VIE Group’s apps or on our and the VIE Group’s website, applicants are also required to do specific poses facing the front camera to complete automatic biometric recognition. Our and the VIE Group’s system authenticates the face recognition result against the database of the Ministry of Public Security of China to detect if it matches the identity card provided by the applicant.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identity card, applicants are required to provide basic personal information, including educational level, marital status, occupation, address and bank account information for our and the VIE Group’s credit assessment. Applicants also authorize us to collect data from third parties for purposes of credit assessment. If the applicants have previously applied for loans through our and the VIE Group’s platform, they do not need to go through the procedures again, but may supplement or update their personal information if there are any changes.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Assessment and Approval</w:t>
      </w:r>
    </w:p>
    <w:p>
      <w:pPr>
        <w:spacing w:after="0" w:line="227"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8"/>
          <w:szCs w:val="18"/>
          <w:color w:val="auto"/>
        </w:rPr>
        <w:t>Our and the VIE Group’s credit assessment model automatically computes a credit score for the applicant upon receipt of his or her credit information. If the applicants have previously applied for loans on our and the VIE Group’s platform, their credit scores may be adjusted upwards or downwards based on their performance of repayment obligations and updated personal information. Please see “Item 4. Information on the Company—B. Business Overview—Credit Assessment and Risk Management System” for a detailed description of our and the VIE Group’s credit assessment and risk management system. For funds provided by institutional funding partners, we and the VIE Group use a variety of technological tools to pre-screen the applicants and qualified applicants still need approvals from the institutional funding partners.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funds provided by institutional funding partners, upon confirmation of the loan amount by the borrower and credit approval from the institutional funding partners, our and the VIE Group’s system will generate a multilateral loan agreement among the borrower, the institutional funding partner, guarantor and us, which will become effective immediately. We and the VIE Group will then instruct the institutional funding partner to transfer the funding to the borrower’s account directly.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Assessment and Risk Management System</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operate a highly secure and open platform with proprietary and effective credit assessment model and comprehensive risk management system. Leveraging advanced technologies, including artificial intelligence and big data analytics, we and the VIE Group continuously refine, test, and optimize our and the VIE Group’s model as our and the VIE Group’s platform continues to accumulate and collect more credit data in our and the VIE Group’s operations.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and the VIE Group’s credit assessment model and risk management system have undergone significant evolution. We and the VIE Group have been building an online credit assessment model since the launch of our and the VIE Group’s online platform in December 2015. We and the VIE Group no longer offer offline loan products since February 2018 and have fully automated data collection and risk management methodologies accordingly. With data accumulation and model optimization, we currently utilize a proprietary intelligent system known as Mingjian, which has achieved risk management throughout the life cycle of loans, involving the application stage, customer management stage, risk monitoring and early warning stage empowering multiple operating processes.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Data Collection and Pre-processing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first step of our and the VIE Group’s credit assessment process is to collect data from the applicant for prescreening. The list below presents the typical types of data that we and the VIE Group use as input for our and the VIE Group’s credit assessment.</w:t>
      </w:r>
    </w:p>
    <w:p>
      <w:pPr>
        <w:spacing w:after="0" w:line="16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authentication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directly provided by the applicant, such as age, geographical region and work-related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Behavioral data of applicants when applying for loans;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credit data collected through our and the VIE Group’s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regarding fraud cases.</w:t>
      </w:r>
    </w:p>
    <w:p>
      <w:pPr>
        <w:spacing w:after="0" w:line="200" w:lineRule="exact"/>
        <w:rPr>
          <w:sz w:val="20"/>
          <w:szCs w:val="20"/>
          <w:color w:val="auto"/>
        </w:rPr>
      </w:pPr>
    </w:p>
    <w:p>
      <w:pPr>
        <w:spacing w:after="0" w:line="241" w:lineRule="exact"/>
        <w:rPr>
          <w:sz w:val="20"/>
          <w:szCs w:val="20"/>
          <w:color w:val="auto"/>
        </w:rPr>
      </w:pPr>
    </w:p>
    <w:p>
      <w:pPr>
        <w:jc w:val="both"/>
        <w:ind w:firstLine="508"/>
        <w:spacing w:after="0" w:line="266" w:lineRule="auto"/>
        <w:rPr>
          <w:sz w:val="20"/>
          <w:szCs w:val="20"/>
          <w:color w:val="auto"/>
        </w:rPr>
      </w:pPr>
      <w:r>
        <w:rPr>
          <w:rFonts w:ascii="Times New Roman" w:cs="Times New Roman" w:eastAsia="Times New Roman" w:hAnsi="Times New Roman"/>
          <w:sz w:val="18"/>
          <w:szCs w:val="18"/>
          <w:color w:val="auto"/>
        </w:rPr>
        <w:t>We and the VIE Group feed the raw, unstructured data that we and the VIE Group collect into our and the VIE Group’s data pre-processing module to generate high quality structured data as input for our and the VIE Group’s credit assessment modules. Our and the VIE Group’s data pre-processing procedures involve data cleaning, data normalization and feature extraction.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Assessment Model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and the VIE Group’s credit assessment system includes three main modules-authentication module, anti-fraud module and scorecard module.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VIE Group continuously optimize these models and strengthen our risk management capability.</w:t>
      </w:r>
    </w:p>
    <w:p>
      <w:pPr>
        <w:spacing w:after="0" w:line="20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 Module</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authentication module is a personal information authentication system that verifies and authenticates the identity of the applicant through the information provided by the applicant and third parties. With OCR and facial recognition technologies, the authentication module is able to automatically verify the identity card provided by applicants and their self-taken video against the Ministry of Public Security identity card database. We and the VIE Group also cross check the personal and credit information, against data from third parties to verify the authenticity of the data. Using the proprietary intelligent risk management system, we and the VIE Group have achieved the whole process life cycle risk control of pre-loan risk screening, risk monitoring and pre-warning since 2021.</w:t>
      </w:r>
    </w:p>
    <w:p>
      <w:pPr>
        <w:spacing w:after="0" w:line="18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Anti-Fraud Module</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and the VIE Group have a large database of past fraud accounts information and sophisticated rules in detecting fraudulent behaviors. We and the VIE Group have been working closely with multiple partners in a joint effort to identify emerging fraudulent schemes, scams, trends, threats, and criminal organizations and have accumulated massive data relating to fraud. The database we and the VIE Group maintain enables us to fine-tune the rules we and the VIE Group set and enhance our and the VIE Group’s fraud detection capabilities. Utilizing graph mining technology, this module analyzes each applicant’s social proximity or relationships, to known fraudsters in our and the VIE Group’s database to determine the applicant’s likelihood of also being a fraudster. We and the VIE Group also continuously evolve this module to detect fraud clusters across device, environment, behavior and social dimensions. We and the VIE Group also maintain a blacklist after detecting any fraudulent borrowers. We and the VIE Group put the transaction link into the anti-fraud control, according to the customer risk level using different means of verification, in order to achieve the whole process risk management. We and the VIE Group have independently developed and built the knowledge graph platform known as Xingkong since 2021, on which multi-relational graphs are built based on the graph database technology and potential risks are identified. We and the VIE Group also incorporate the transaction process into the anti-fraud module as different means of verification are adopted according to the risk level of the borrowers. During the year of 2024, We and the VIE Group established an AI-powered comprehensive anti-fraud defense system through self-developed intelligent platforms, including the Qimingxing Intelligent Warning System and the Mingrui Document Verification System. In 2025, we and our VIE Group conducted real-time fraudulent borrowers identification for incoming calls by establishing a historical voiceprint database and a voiceprint processing pipeline.</w:t>
      </w:r>
    </w:p>
    <w:p>
      <w:pPr>
        <w:spacing w:after="0" w:line="19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Scorecard Module</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After a prospective borrower has passed the fraud detection module, we and the VIE Group initiate a credit review using our and the VIE Group’s proprietary scorecard module to generate a score for the prospective borrower, which ultimately drives the decision on whether to extend credit and the amount to be extended. Our and the VIE Group’s scorecard module utilizes historical credit data collected through our and the VIE Group's platform and data we and the VIE Group collected from the borrower, such as the credit card transaction record and repayment history. We and the VIE Group are authorized by the borrower to collect. We and the VIE Group generally assign the highest score for borrowers who demonstrate the most solid financial position and consistent repayment history.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0" w:name="page81"/>
    <w:bookmarkEnd w:id="80"/>
    <w:p>
      <w:pPr>
        <w:jc w:val="both"/>
        <w:spacing w:after="0" w:line="251" w:lineRule="auto"/>
        <w:rPr>
          <w:sz w:val="20"/>
          <w:szCs w:val="20"/>
          <w:color w:val="auto"/>
        </w:rPr>
      </w:pPr>
      <w:r>
        <w:rPr>
          <w:rFonts w:ascii="Times New Roman" w:cs="Times New Roman" w:eastAsia="Times New Roman" w:hAnsi="Times New Roman"/>
          <w:sz w:val="18"/>
          <w:szCs w:val="18"/>
          <w:color w:val="auto"/>
        </w:rPr>
        <w:t>We and the VIE Group started using the scorecard module since 2016 and it evolved over time as our and the VIE Group’s product mix evolved and our and the VIE Group’s credit assessment capabilities improve. As part of our and the VIE Group’s credit assessment efforts, we and the VIE Group also adapt our and the VIE Group’s scorecard module to our and the VIE Group’s borrower base, which shifted from offline to online and has evolved as we and the VIE Group engage borrowers through different channels from time to time. Our and the VIE Group’s scorecard module analyzes a different set of data for each loan application compared to earlier versions of the module and we and the VIE Group continually test, validate and optimize it by changing the types of data it analyzes and the relative weights of various types of data. In particular, as the quality and availability of various data from third parties which is input in our and the VIE Group’s scorecard module changes over time, we and the VIE Group refine our and the VIE Group’s scorecard module accordingly. At the same time, deep learning algorithms, techniques and graphs are introduced to model and maximize the value of data mining to optimize access strategies and grant credit lines, and effectively extract high-quality customers. In 2021, based on the traditional scorecard module and original learning algorithm, we and the VIE Group have incorporated advanced learning algorithms, NLP technology and multi-relational graphs into the feature engineering and model construction to maximize the value of data mining, optimize access strategies and effectively identify creditworthy borrowers. Continuously refined by machine learning algorithms and the high volume of transaction data we and the VIE Group collect, especially proprietary credit repayment records, our and the VIE Group’s scorecard module currently analyzes a large number of variables for each loan application and enables us to better differentiate between creditworthy borrowers and lower quality borrowers. We and the VIE Group also enhanced the stability of our and the VIE Group’s scorecard module in view of increased amounts of loan applications we and the VIE Group receive. As our and the VIE Group’s credit assessment capabilities evolve, we and the VIE Group are increasingly capable of identifying creditworthy borrowers, some of which we and the VIE Group were unable to identify previously. We and the VIE Group also benefit from the growth of our and the VIE Group’s platform and the larger pool of borrower applicants our and the VIE Group’s platform attracts, among which we and the VIE Group are able to identify more creditworthy borrowers. As such, the credit scores generated by our and the VIE Group’s scorecard module are not directly comparable across different time periods. Currently, the credit scores of our and the VIE Group’s borrowers range from 0 to 100, while 100 represents the lowest credit risk associated with the borrower and 0 represents the highest. We and the VIE Group generally reject borrowers with a credit score lower than 0, who we and the VIE Group believe have low repayment willingness or capability. Set forth below is a breakdown of loan facilitation volume by the range of the credit scores of our and the VIE Group’s borrowers as of the time of the loan facilitation.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5"/>
                <w:szCs w:val="15"/>
                <w:color w:val="auto"/>
              </w:rPr>
            </w:pPr>
          </w:p>
        </w:tc>
        <w:tc>
          <w:tcPr>
            <w:tcW w:w="1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17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Risk Level</w:t>
            </w:r>
          </w:p>
        </w:tc>
        <w:tc>
          <w:tcPr>
            <w:tcW w:w="120" w:type="dxa"/>
            <w:vAlign w:val="bottom"/>
            <w:vMerge w:val="restart"/>
          </w:tcPr>
          <w:p>
            <w:pPr>
              <w:spacing w:after="0"/>
              <w:rPr>
                <w:sz w:val="10"/>
                <w:szCs w:val="10"/>
                <w:color w:val="auto"/>
              </w:rPr>
            </w:pPr>
          </w:p>
        </w:tc>
        <w:tc>
          <w:tcPr>
            <w:tcW w:w="1520" w:type="dxa"/>
            <w:vAlign w:val="bottom"/>
            <w:tcBorders>
              <w:top w:val="single" w:sz="8" w:color="auto"/>
            </w:tcBorders>
            <w:gridSpan w:val="3"/>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(in RMB</w:t>
            </w:r>
          </w:p>
        </w:tc>
        <w:tc>
          <w:tcPr>
            <w:tcW w:w="8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1480" w:type="dxa"/>
            <w:vAlign w:val="bottom"/>
            <w:tcBorders>
              <w:top w:val="single" w:sz="8" w:color="auto"/>
            </w:tcBorders>
            <w:gridSpan w:val="3"/>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(in RMB</w:t>
            </w:r>
          </w:p>
        </w:tc>
        <w:tc>
          <w:tcPr>
            <w:tcW w:w="7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500" w:type="dxa"/>
            <w:vAlign w:val="bottom"/>
            <w:tcBorders>
              <w:top w:val="single" w:sz="8" w:color="auto"/>
            </w:tcBorders>
            <w:gridSpan w:val="3"/>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(in RMB</w:t>
            </w:r>
          </w:p>
        </w:tc>
        <w:tc>
          <w:tcPr>
            <w:tcW w:w="82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40-60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88,083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100,849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129,047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Team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have a risk management committee, comprised of nine members, that meets regularly to examine the credit, liquidity and operational risks on our and the VIE Group’s platform. Our and the VIE Group’s risk management team is responsible for designing and implementing the risk management and credit assessment policies and processes, loan performance analysis, credit model validation and credit decisioning performance. Our and the VIE Group’s risk management team engages in various risk management activities, including reporting on performance trends, monitoring of loan concentrations and stability, performing economic stress tests on loans, randomly auditing loan decisions by our and the VIE Group’s credit assessment model and conducting peer benchmarking and external risk assessments.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Arrangements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Starting from the fourth quarter of year 2022, we and the VIE Group provide guarantee services through our own licensed financing guarantee subsidiaries or through cooperation with third-party licensed financing guarantee companies for loans facilitated to the institutional funding partners. Starting from year 2024, majority of the new guarantee services provided by us are through our own licensed financing guarantee subsidiary. Under the cooperation with licensed financing guarantee companies, these licensed financing guarantee companies initially reimburses the loan principal and interest to the institutional funding partners upon borrower’s default. Although we and the VIE Group do not have direct contractual obligation to the institutional funding partners for defaulted principal and interest, we and the VIE Group provide back-to-back guarantee to the licensed financing guarantee companies. In connection with the above back-to-back guarantee arrangements with the institutional funding partners and licensed financing guarantee companies, we and the VIE Group also engage third-party companies to provide back-to-back guarantee services to us, pursuant to which the third-party companies are obligated to compensate us at an amount equal to the compensation we paid to the institutional funding partners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and the third-party licensed financing guarantee companies. See note 2(k) to the consolidated financial statements for details on guarantee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Overseas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Leveraging on the proprietary technology and operation experience accumulated in China, we are exploring business opportunities in other developing countries with a significant size of low-to mid- income population. We believe that these low-to mid- income populations is currently underserved by local financial systems similar to the financial market situation in China and our credit assessment and risk management system can be readily deployed in these countries. In 2024, we disposed of the subsidiaries in Nigeria.</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technical expertise and operational experience we have accumulated in China continues to support the growth of our overseas business. With our proprietary credit assessment and risk management system, we aim to provide more accessible financial solutions to low-and-middle income groups in multiple developing countries. In recent years, we increased our investments in Indonesia to explore more business opportunities in local markets.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plan to further explore overseas markets, to expand our customer base. We have broadened and will continue to broaden our financing channels through partnerships with local banks and other financial institutions. With our risk management technologies and the localization capabilities, we will be able to deliver more accessible and convenient financial services to better serve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and the VIE Group’s Technology and IT Infrastructure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and the VIE Group’s business is dependent on our and the VIE Group’s strong technological capabilities that support us in delivering superior user experience, safeguarding information on our and the VIE Group’s platform, increasing operational efficiency and enabling innovations. Principal components of our and the VIE Group’s technology system include:</w:t>
      </w:r>
    </w:p>
    <w:p>
      <w:pPr>
        <w:spacing w:after="0" w:line="174" w:lineRule="exact"/>
        <w:rPr>
          <w:sz w:val="20"/>
          <w:szCs w:val="20"/>
          <w:color w:val="auto"/>
        </w:rPr>
      </w:pPr>
    </w:p>
    <w:p>
      <w:pPr>
        <w:jc w:val="both"/>
        <w:ind w:left="1020" w:hanging="503"/>
        <w:spacing w:after="0" w:line="258"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Big data analytics capabilities</w:t>
      </w:r>
      <w:r>
        <w:rPr>
          <w:rFonts w:ascii="Times New Roman" w:cs="Times New Roman" w:eastAsia="Times New Roman" w:hAnsi="Times New Roman"/>
          <w:sz w:val="18"/>
          <w:szCs w:val="18"/>
          <w:color w:val="auto"/>
        </w:rPr>
        <w:t>. Leveraging a massive borrower base, we and the VIE Group have been continuously improving our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 Group’s data mining and user behavior analytics capabilities, which enable us to build a comprehensive credit profile for each borrower as the basis for our and the VIE Group’s quick and accurate credit decisions. Our and the VIE Group’s data mining and analytics capabilities also allow us to empower numerous aspects of our and the VIE Group’s operations, such as management of the loan lifecycle for borrowers, proprietary fraud detection, graph mining, risk management and financial modeling.</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Artificial Intelligence technologies</w:t>
      </w:r>
      <w:r>
        <w:rPr>
          <w:rFonts w:ascii="Times New Roman" w:cs="Times New Roman" w:eastAsia="Times New Roman" w:hAnsi="Times New Roman"/>
          <w:sz w:val="18"/>
          <w:szCs w:val="18"/>
          <w:color w:val="auto"/>
        </w:rPr>
        <w:t>. We and the VIE Group put together a dedicated team focusing on internal Artificial Intelligence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development. Based on the comprehensive range of voice, image and video data collected through our and the VIE Group’s platform, we and the VIE Group have strengthened our and the VIE Group’s data-centric machine learning technologies. We and the VIE Group also achieved important milestones in the areas of human-computer interaction, OCR and facial recognition, which have been utilized in our and the VIE Group’s risk management system and enabled us to build up a secured and stable platform. For example, our AI-powered customer service system covers the end-to-end business process—from initial agent training and real-time conversation support to post-interaction analysis—driving improvements in both efficiency and service quality.</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Highly automated process. </w:t>
      </w:r>
      <w:r>
        <w:rPr>
          <w:rFonts w:ascii="Times New Roman" w:cs="Times New Roman" w:eastAsia="Times New Roman" w:hAnsi="Times New Roman"/>
          <w:sz w:val="18"/>
          <w:szCs w:val="18"/>
          <w:color w:val="auto"/>
        </w:rPr>
        <w:t>Throughout the life cycle of the loan products facilitated by us and the VIE Group, we and the VIE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highly automated management process to monitor the registration, application, verification, credit assessment, decision making, funding and collections. Our and the VIE Group’s user-friendly apps gives borrowers convenient access to our and the VIE Group’s product features and help them find the loan products that match their needs.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security. </w:t>
      </w:r>
      <w:r>
        <w:rPr>
          <w:rFonts w:ascii="Times New Roman" w:cs="Times New Roman" w:eastAsia="Times New Roman" w:hAnsi="Times New Roman"/>
          <w:sz w:val="18"/>
          <w:szCs w:val="18"/>
          <w:color w:val="auto"/>
        </w:rPr>
        <w:t>We and the VIE Group maintain an effective cyber security system to monitor and manage the traffic to our and the 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platform on a real-time basis. Our and the VIE Group’s system is designed to automatically defect suspicious activities and an alert will be instantly sent to our and the VIE Group’s IT team. To minimize the risk of a cyber-attack, we and the VIE Group keep and constantly update an internal blacklist of malicious IP addresses. For our and the VIE Group’s daily operation, we and the VIE Group collect and store certain personal information, including sensitive information such as people’s ID card numbers and bank accounts information. We and the VIE Group retrieve such information only upon user’s consent and store all data in an encrypted form. We and the VIE Group also implement multiple layers of security to insulate our and the VIE Group’s databases from unauthorized access and use sophisticated security protocols for communication among applications.</w:t>
      </w:r>
    </w:p>
    <w:p>
      <w:pPr>
        <w:spacing w:after="0" w:line="76"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Stability</w:t>
      </w:r>
      <w:r>
        <w:rPr>
          <w:rFonts w:ascii="Times New Roman" w:cs="Times New Roman" w:eastAsia="Times New Roman" w:hAnsi="Times New Roman"/>
          <w:sz w:val="18"/>
          <w:szCs w:val="18"/>
          <w:color w:val="auto"/>
        </w:rPr>
        <w:t>. We and the VIE Group utilize multiple data centers in different cities and maintain data redundancy through a real-time multi-layer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backup system to ensure the reliability of our and the VIE Group’s network. We and the VIE Group</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2" w:name="page83"/>
    <w:bookmarkEnd w:id="82"/>
    <w:p>
      <w:pPr>
        <w:ind w:left="1020"/>
        <w:spacing w:after="0" w:line="282" w:lineRule="auto"/>
        <w:rPr>
          <w:sz w:val="20"/>
          <w:szCs w:val="20"/>
          <w:color w:val="auto"/>
        </w:rPr>
      </w:pPr>
      <w:r>
        <w:rPr>
          <w:rFonts w:ascii="Times New Roman" w:cs="Times New Roman" w:eastAsia="Times New Roman" w:hAnsi="Times New Roman"/>
          <w:sz w:val="18"/>
          <w:szCs w:val="18"/>
          <w:color w:val="auto"/>
        </w:rPr>
        <w:t>have implemented a disaster recovery program which enables us to react appropriately in an emergency and instantly start transferring our and the VIE Group’s data to a back-up data center if needed.</w:t>
      </w:r>
    </w:p>
    <w:p>
      <w:pPr>
        <w:spacing w:after="0" w:line="52" w:lineRule="exact"/>
        <w:rPr>
          <w:sz w:val="20"/>
          <w:szCs w:val="20"/>
          <w:color w:val="auto"/>
        </w:rPr>
      </w:pPr>
    </w:p>
    <w:p>
      <w:pPr>
        <w:jc w:val="both"/>
        <w:ind w:left="1020" w:hanging="503"/>
        <w:spacing w:after="0" w:line="267"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w:t>
      </w:r>
      <w:r>
        <w:rPr>
          <w:rFonts w:ascii="Times New Roman" w:cs="Times New Roman" w:eastAsia="Times New Roman" w:hAnsi="Times New Roman"/>
          <w:sz w:val="18"/>
          <w:szCs w:val="18"/>
          <w:color w:val="auto"/>
        </w:rPr>
        <w:t>. With modular architecture, our and the VIE Group’s platforms can be easily expanded as data storage requirements and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visits increase. In addition, load balancing technology helps us improve distribution of workloads across multiple computing components, optimizing resource utilization and minimizing response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and the VIE Group regard our patents, trademarks, domain names, copyrights, know-how, proprietary technologies and similar intellectual property as critical to our success, and we and the VIE Group rely on patents, trademarks, copyrights and trade secret law and confidentiality, invention assignment and non-compete agreements with our employees and others to protect our proprietary rights. We and the VIE Group have registered 3 patents and 188 trademarks in the PRC. We and the VIE Group are the registered holder of 29 domain names, including </w:t>
      </w:r>
      <w:r>
        <w:rPr>
          <w:rFonts w:ascii="Times New Roman" w:cs="Times New Roman" w:eastAsia="Times New Roman" w:hAnsi="Times New Roman"/>
          <w:sz w:val="18"/>
          <w:szCs w:val="18"/>
          <w:i w:val="1"/>
          <w:iCs w:val="1"/>
          <w:color w:val="auto"/>
        </w:rPr>
        <w:t>www.jiayintech.cn</w:t>
      </w:r>
      <w:r>
        <w:rPr>
          <w:rFonts w:ascii="Times New Roman" w:cs="Times New Roman" w:eastAsia="Times New Roman" w:hAnsi="Times New Roman"/>
          <w:sz w:val="18"/>
          <w:szCs w:val="18"/>
          <w:color w:val="auto"/>
        </w:rPr>
        <w:t>. We and the VIE Group also have 126 copyrights for our and the VIE Group’s proprietary techniques in connection with our and the VIE Group’s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8"/>
        <w:spacing w:after="0" w:line="253" w:lineRule="auto"/>
        <w:rPr>
          <w:sz w:val="20"/>
          <w:szCs w:val="20"/>
          <w:color w:val="auto"/>
        </w:rPr>
      </w:pPr>
      <w:r>
        <w:rPr>
          <w:rFonts w:ascii="Times New Roman" w:cs="Times New Roman" w:eastAsia="Times New Roman" w:hAnsi="Times New Roman"/>
          <w:sz w:val="18"/>
          <w:szCs w:val="18"/>
          <w:color w:val="auto"/>
        </w:rPr>
        <w:t>Online consumer finance market is an evolving industry in China. We and the VIE Group face competition from other online consumer finance platforms, online platforms that engage in online loan facilitation and traditional financial institutions. We and the VIE Group compete with other online consumer finance platforms directly for borrowers, institutional funding partners and online investors. In addition, we and the VIE Group compete with other online platforms that engage in online lending businesses for borrowers. We and the VIE Group also compete with traditional financial institutions, including credit card issuers, consumer finance business units in commercial banks and other consumer finance companies. Some of our and the VIE Group’s larger competitors have substantially broader products or service offerings and richer financial resources to support heavy spending on sales and marketing. We and the VIE Group believe that our and the VIE Group’s ability to compete effectively for funding partners and borrowers depends on many factors, including our and the VIE Group’s ability to attract and retain borrowers and institutional funding partners and borrower experience on our and the VIE Group’s platform, the effectiveness of our and the VIE Group’s risk management system, the returns and reliance offered to funding partners, our and the VIE Group’s marketing and selling efforts and the strength and reputation of our and the VIE Group’s brand.</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and the VIE Group’s business continues to grow rapidly, we and the VIE Group face significant competition for talents, including management, engineers, product managers and risk management personnel. The success of our and the VIE Group’s growth strategy depends in part on our and the VIE Group’s ability to retain existing personnel and attract additional talents.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and the VIE Group experience seasonality in our and the VIE Group’s business, which reflects the seasonal fluctuations in internet usage and consumer behavior patterns. For instance, during national holidays in China, particularly during Chinese New Year, we and the VIE Group typically observe reduced borrowing activity from individual borrowers. Additionally, our and the VIE Group’s institutional funding partners may be affected by liquidity seasonality in the banking system, notably in the first and fourth quarters. The seasonality our institutional funding partners experience may impact our and the VIE Group’s business and loan facilitation volume during those periods. However, the seasonal trends and patterns we and the VIE Group have experienced in the past may not necessarily apply to, or indicate, our future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laws, regulations and rules that affect our and the VIE Group’s business activities in the PRC and our and the VIE Group’s shareholders’ rights to receive dividends and other distributions from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Online Consumer Finance Services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the relatively brief history of the online consumer finance industry in China, the regulatory framework governing our and the VIE Group’s industry has not developed comprehensively. Even though few specific regulations on online consumer finance industry have been issued in the past few years, detailed guidance and interpretation has yet to be promulgated by the regulators.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Regulations Relating to Cooperation with Institutional Funding Partners</w:t>
      </w:r>
    </w:p>
    <w:p>
      <w:pPr>
        <w:spacing w:after="0" w:line="227"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8"/>
          <w:szCs w:val="18"/>
          <w:color w:val="auto"/>
        </w:rPr>
        <w:t xml:space="preserve">On July 18, 2015, </w:t>
      </w:r>
      <w:r>
        <w:rPr>
          <w:rFonts w:ascii="Times New Roman" w:cs="Times New Roman" w:eastAsia="Times New Roman" w:hAnsi="Times New Roman"/>
          <w:sz w:val="18"/>
          <w:szCs w:val="18"/>
          <w:i w:val="1"/>
          <w:iCs w:val="1"/>
          <w:color w:val="auto"/>
        </w:rPr>
        <w:t>the Guidelines on Promoting the Healthy Development of Online Finance Industry</w:t>
      </w:r>
      <w:r>
        <w:rPr>
          <w:rFonts w:ascii="Times New Roman" w:cs="Times New Roman" w:eastAsia="Times New Roman" w:hAnsi="Times New Roman"/>
          <w:sz w:val="18"/>
          <w:szCs w:val="18"/>
          <w:color w:val="auto"/>
        </w:rPr>
        <w:t>, or the Guidelines, were promulgated by ten PRC regulatory authorities, including the PBOC, the MIIT and the CBRC. Pursuant to the Guidelines, a company that provides online lending information intermediary services shall function clearly as an information intermediary and provide information services rather than provide credit enhancement services or engage in illegal fund-raising.</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1, 2017, the Office of the Leading Group for the Special Campaign against Internet Financial Risks and the Office of the Leading Group for the Special Campaign against Online Lending Risks jointly issued </w:t>
      </w:r>
      <w:r>
        <w:rPr>
          <w:rFonts w:ascii="Times New Roman" w:cs="Times New Roman" w:eastAsia="Times New Roman" w:hAnsi="Times New Roman"/>
          <w:sz w:val="18"/>
          <w:szCs w:val="18"/>
          <w:i w:val="1"/>
          <w:iCs w:val="1"/>
          <w:color w:val="auto"/>
        </w:rPr>
        <w:t>the Circular on Regulating and Rectifying of “Cash Loan” Services</w:t>
      </w:r>
      <w:r>
        <w:rPr>
          <w:rFonts w:ascii="Times New Roman" w:cs="Times New Roman" w:eastAsia="Times New Roman" w:hAnsi="Times New Roman"/>
          <w:sz w:val="18"/>
          <w:szCs w:val="18"/>
          <w:color w:val="auto"/>
        </w:rPr>
        <w:t>, or Circular 141. Circular 141 sets out the principles and general requirements for the conduct of “cash loan” business by banking financial institutions (for the purpose of Circular 141, including banks, trust companies and consumer financial companies). Circular 141 focuses on regulating the “cash loans” with features of no user scenario, specified uses of loan proceeds, specified customer base, or collateral, etc. Circular 141 sets forth several general principles with respect to the regulation of “cash loan” business, including: (i) no organization or individual may conduct the “cash loan” lending business without obtaining relevant approval; (ii) the aggregated borrowing costs of borrowers charged by institutions in the form of interest and various fees should be annualized and subject to the limit on interest rate of private lending provided by the judicial department; (iii) institutions engaged in cash, among others, loan business must follow the “know-your-customer” process and prudentially assess and determine the borrower’s suitability, credit limit and cooling-off period, etc.; and (iv) all institutions engaged in cash, among others, loan business must enhance their internal risk control and prudentially use the “data-driven” risk management models.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Circular 141 also sets forth several requirements on banking financial institutions participating in “cash loan” business, including, among other things, (i) such banking financial institutions shall not extend loans jointly with any third-party institution which has not obtained approvals for the lending business, or fund such institution for the purpose of extending loans in any form; (ii) with respect to the loan business conducted in cooperation with third-party institutions, such banking financial institutions shall not outsource the core business (including the credit assessment and risk control), and shall not accept any credit enhancement service whether or not in a disguised form (including the commitment to taking default risks) provided by any third-party institutions with no guarantee qualification and (iii) such banking financial institutions must require and ensure that the third-party institutions shall not collect any interests or fees from the borrowers. Moreover, Circular 141 also sets forth certain specific requirements related to online small loan companies and banking financial institutions in cash loan business. Any violation of the Circular 141 may result in penalties, including but not limited to suspension of operation, orders to make rectification, condemnation, revocation of license, order to cease business operation, and criminal liabilities.</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July 12, 2020, </w:t>
      </w:r>
      <w:r>
        <w:rPr>
          <w:rFonts w:ascii="Times New Roman" w:cs="Times New Roman" w:eastAsia="Times New Roman" w:hAnsi="Times New Roman"/>
          <w:sz w:val="18"/>
          <w:szCs w:val="18"/>
          <w:i w:val="1"/>
          <w:iCs w:val="1"/>
          <w:color w:val="auto"/>
        </w:rPr>
        <w:t>the Interim Measures for the Administration of Online Lending by Commercial Banks</w:t>
      </w:r>
      <w:r>
        <w:rPr>
          <w:rFonts w:ascii="Times New Roman" w:cs="Times New Roman" w:eastAsia="Times New Roman" w:hAnsi="Times New Roman"/>
          <w:sz w:val="18"/>
          <w:szCs w:val="18"/>
          <w:color w:val="auto"/>
        </w:rPr>
        <w:t xml:space="preserve"> came into effect, or the Commercial Banks Online Lending Measure, which formulates the regulation regime for online lending business conducted by commercial banks. For example, the Commercial Banks Online Lending Measures require that a commercial bank shall not grant an individual with a credit line more than RMB200,000 and the term of the personal credit loan extended under such credit shall not exceed one year in the case of repayment of the principal due in a lump sum. Meanwhile, reading of the loan contract by a borrower shall be mandatory in the loan application process and reasonable time limit shall be set therefor.</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Commercial Banks Online Lending Measures set several rules for commercial banks to collaborate with external institutions on online lending, including: (i) commercial banks shall conduct pre-admission assessments on cooperative external institutions and manage such external institutions by a name list; (ii) commercial banks shall not accept any credit enhancement services directly or in disguised form, from third parties without qualification to provide guarantee, credit insurance or guarantee insurance; (iii) commercial banks shall independently conduct the credit approval, contract execution and other core risk control business; (iv) the collaboration agreement between the commercial banks and the cooperative external institutions shall be executed in writing and specify the cooperation scope, data confidentiality, transitional arrangement for change or termination of the matters under cooperation, the commitment of the external institutions for cooperating with the commercial bank in accepting the inspection by the banking regulatory authorities, and the cooperative external institutions (except for an insurance company or an institution with guarantee qualification) shall not charge any interest or expense to the borrower in any form; and (v) the commercial banks shall fully disclose, in conspicuous place of relevant page, the information of the cooperative external institutions, the information of the cooperative product, as well as rights and responsibilities of the commercial bank and the cooperative external institutions.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Commercial Banks Online Lending Measures set forth a transitional period of these measures, which is two years from the date on which the Commercial Banks Online Lending Measures is implemented. The business newly increased in the transitional period shall comply with the requirement therein, and a plan to rectify the online lending business within such transitional period shall be formulated and submitted to the banking regulatory authority within one month from the implementation date. The Commercial Banks Online Lending Measures shall also apply as reference to the online lending business conducted by consumer finance companies and auto finance companies (except for the above-mentioned requirements on the terms of personal credit loan).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4" w:name="page85"/>
    <w:bookmarkEnd w:id="8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February 19, 2021, the CBIRC further issued </w:t>
      </w:r>
      <w:r>
        <w:rPr>
          <w:rFonts w:ascii="Times New Roman" w:cs="Times New Roman" w:eastAsia="Times New Roman" w:hAnsi="Times New Roman"/>
          <w:sz w:val="18"/>
          <w:szCs w:val="18"/>
          <w:i w:val="1"/>
          <w:iCs w:val="1"/>
          <w:color w:val="auto"/>
        </w:rPr>
        <w:t>the Notice of Further Regulating Online Loan Business of Commercial Banks</w:t>
      </w:r>
      <w:r>
        <w:rPr>
          <w:rFonts w:ascii="Times New Roman" w:cs="Times New Roman" w:eastAsia="Times New Roman" w:hAnsi="Times New Roman"/>
          <w:sz w:val="18"/>
          <w:szCs w:val="18"/>
          <w:color w:val="auto"/>
        </w:rPr>
        <w:t>, also known as Circular 24, which provides that the commercial banks shall independently carry out the risk management of online loans and are forbidden from outsourcing the material procedures of loan management. Circular 24 will also apply by analogy to branches of foreign banks, trusts, consumer finance companies and auto finance companies. Circular 24 also provides for the transition periods, and further requirements may be imposed by CBIRC and its local counterparts based on the provisions of Circular 24.</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February 2021, the CBIRC, the PBOC, the Ministry of Education, the Office of the Central Cyberspace Affairs Commission and the Ministry of Public Security jointly issued </w:t>
      </w:r>
      <w:r>
        <w:rPr>
          <w:rFonts w:ascii="Times New Roman" w:cs="Times New Roman" w:eastAsia="Times New Roman" w:hAnsi="Times New Roman"/>
          <w:sz w:val="18"/>
          <w:szCs w:val="18"/>
          <w:i w:val="1"/>
          <w:iCs w:val="1"/>
          <w:color w:val="auto"/>
        </w:rPr>
        <w:t>the Notice on Further Strengthening the Regulation and Management Work of Internet Consumer Loan for College Students</w:t>
      </w:r>
      <w:r>
        <w:rPr>
          <w:rFonts w:ascii="Times New Roman" w:cs="Times New Roman" w:eastAsia="Times New Roman" w:hAnsi="Times New Roman"/>
          <w:sz w:val="18"/>
          <w:szCs w:val="18"/>
          <w:color w:val="auto"/>
        </w:rPr>
        <w:t>, or the Notice on Internet Consumer Loan for College Students. The Notice on Internet Consumer Loan for College Students provides that the microcredit companies are prohibited to provide internet consumer loans to college students. In addition, it sets forth several requirements on the banking financial institutions participating in internet consumer loans for college students, including without limitation: (i) the banking financial institutions and its cooperative institution shall not conduct online precision marketing aimed at college students, and shall complete necessary filings and reports with relevant authorities before offline promotion in campus; (ii) the banking financial institutions shall strictly check credit qualifications and the identities of college students and their use of loans, conduct comprehensive credit assessment, and receive the written confirm from the second repayment sources (such as parents, guardians, or other administrator of the college students) that they agree such internet consumer loan provided to such college student and they will guarantee the repayment of such internet consumer loan; and (iii) all credit information of internet consumer loan for college students shall be submitted to the financial credit information database in a timely, complete and accurate manner, and college students who do not agree to submit such credit information shall not be extended the loan.</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April 21, 2026, the PBOC, the MIIT, the SAMR, the National Financial Regulatory Administration, the CSRC, the State Intellectual Property Office, the CAC, the SAFE jointly issued the Measures for the Management of Online Marketing of Financial Products, or the Measures for Online Marketing, which will come into effect on September 30, 2026, to further regulate Financial Institutions or their cooperation with third-party internet platform operators entrusted by them. Financial Institutions refer to institutions engaged in financial business approved by relevant financial department. Financial products refer to products and services designed, developed and sold by Financial Institutions, including but not limited to deposits, loans, securities, asset management products, insurance, precious metals, etc.</w:t>
      </w:r>
    </w:p>
    <w:p>
      <w:pPr>
        <w:spacing w:after="0" w:line="1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Measures for Online Marketing also requires that: (i)Third-party internet platforms that provide services for the online marketing of financial products shall accept the lawful instruction of financial institutions and comply with the relevant regulatory requirements of financial regulatory authorities. They shall not exceed the scope of the commission from financial institutions, nor shall they sub-commission or de facto sub-commission the business commissioned by financial institutions to other institutions. Where a third-party internet platform provides a redirection channel for financial consumers and investors to purchase financial products, it shall redirect to the self-operated platform of the financial institution and shall not redirect to other third-party internet platforms engaged in the online marketing of financial products. (ii) No institution or individual shall provide online marketing services or facilitation for illegal financial activities. Illegal financial activities refer to activities that, without the lawful permission of financial regulatory authorities or in violation of national financial management regulations, substantially engage in various business activities such as currency, payment, deposit-taking, lending, insurance, securities, funds, futures, foreign exchange, etc. (iii) When financial institutions commission third-party internet platforms to provide services for the online marketing of financial products, they shall clearly delineate the responsibilities and obligations of both parties in accordance with relevant laws and regulations and national financial management regulations. Third-party internet platforms shall not, in violation of laws, regulations, or national financial management regulations, intervene or de facto intervene in the sales process of financial products, including the signing of sales contracts, fund transfers, suitability assessments for financial consumers and investors, and loan amount assessments, nor shall they engage in interactive consultations with consumers and investors regarding financial products. Third-party internet platforms charging fees for online marketing services shall set reasonable prices commensurate with the quality of service. Financial institutions shall not be exempted from their own responsibilities for financial products due to commissioning third-party internet platforms to provide online marketing services. If a third-party internet platform fails to conduct online marketing of financial products in accordance with regulations, thereby harming the lawful rights and interests of financial consumers and investors or causing other adverse effects, it shall bear corresponding liability according to law. When financial institutions commission third-party internet platforms to provide services for the online marketing of financial products, they shall urge the third-party internet platforms to strengthen risk management, ensuring business independence, technical security, and data and personal information security. Third-party internet platforms shall adhere to their fundamental role of providing technical services, shall not de facto engage in financial business activities, and shall not use technical means to help cooperating financial institutions circumvent regulation. (iv) Third-party internet platforms that violate the aforementioned provisions shall be subject to penalties by the relevant competent authorities.</w:t>
      </w:r>
    </w:p>
    <w:p>
      <w:pPr>
        <w:spacing w:after="0" w:line="20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January 15, 2022, the CBIRC issued </w:t>
      </w:r>
      <w:r>
        <w:rPr>
          <w:rFonts w:ascii="Times New Roman" w:cs="Times New Roman" w:eastAsia="Times New Roman" w:hAnsi="Times New Roman"/>
          <w:sz w:val="18"/>
          <w:szCs w:val="18"/>
          <w:i w:val="1"/>
          <w:iCs w:val="1"/>
          <w:color w:val="auto"/>
        </w:rPr>
        <w:t>the Guidelines on Regulating the Management of Market-regulated Pricing of Banking Services</w:t>
      </w:r>
      <w:r>
        <w:rPr>
          <w:rFonts w:ascii="Times New Roman" w:cs="Times New Roman" w:eastAsia="Times New Roman" w:hAnsi="Times New Roman"/>
          <w:sz w:val="18"/>
          <w:szCs w:val="18"/>
          <w:color w:val="auto"/>
        </w:rPr>
        <w:t>, or the Guidelines on the Management of Market-regulated Pricing, which took effect on May 1, 2022. According to the Guidelines on the Management of Market-regulated Pricing, banks shall fully understand the service contents and price standards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85" w:name="page86"/>
    <w:bookmarkEnd w:id="85"/>
    <w:p>
      <w:pPr>
        <w:jc w:val="both"/>
        <w:spacing w:after="0" w:line="266" w:lineRule="auto"/>
        <w:rPr>
          <w:sz w:val="20"/>
          <w:szCs w:val="20"/>
          <w:color w:val="auto"/>
        </w:rPr>
      </w:pPr>
      <w:r>
        <w:rPr>
          <w:rFonts w:ascii="Times New Roman" w:cs="Times New Roman" w:eastAsia="Times New Roman" w:hAnsi="Times New Roman"/>
          <w:sz w:val="18"/>
          <w:szCs w:val="18"/>
          <w:color w:val="auto"/>
        </w:rPr>
        <w:t>provided by online platforms and other institutional funding partners, agree in the cooperation agreement the requirements for the service prices disclosure, responsibilities and obligations for resolving disputes among three parties, prohibit institution partners from charging any fees from customers in the name of banks and terminate cooperating with any institution partners whose service charges do not match the quality in a timely manner.</w:t>
      </w:r>
    </w:p>
    <w:p>
      <w:pPr>
        <w:spacing w:after="0" w:line="1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on July 12, 2022, the CBIRC issued </w:t>
      </w:r>
      <w:r>
        <w:rPr>
          <w:rFonts w:ascii="Times New Roman" w:cs="Times New Roman" w:eastAsia="Times New Roman" w:hAnsi="Times New Roman"/>
          <w:sz w:val="18"/>
          <w:szCs w:val="18"/>
          <w:i w:val="1"/>
          <w:iCs w:val="1"/>
          <w:color w:val="auto"/>
        </w:rPr>
        <w:t>the Notice on Strengthening Management of Online Lending Business of Commercial Banks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Improving the Quality and Efficiency of Financial Services</w:t>
      </w:r>
      <w:r>
        <w:rPr>
          <w:rFonts w:ascii="Times New Roman" w:cs="Times New Roman" w:eastAsia="Times New Roman" w:hAnsi="Times New Roman"/>
          <w:sz w:val="18"/>
          <w:szCs w:val="18"/>
          <w:color w:val="auto"/>
        </w:rPr>
        <w:t>, which stipulates that (i) if commercial banks engage in online lending business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cooperating with other institutions to obtain customers, conduct payment and settlement services, they shall strengthen the management of core risk control and shall not reduce risk control standards due to business cooperation; (ii) if commercial banks cooperate with an institution providing personal information process services, they shall effectively and properly carry out security assessment on the cooperative institution, including but not limited to the compliance system for protection of personal information, supervision mechanism, information processing standards and safety and security measures;</w:t>
      </w:r>
    </w:p>
    <w:p>
      <w:pPr>
        <w:spacing w:after="0" w:line="2" w:lineRule="exact"/>
        <w:rPr>
          <w:sz w:val="20"/>
          <w:szCs w:val="20"/>
          <w:color w:val="auto"/>
        </w:rPr>
      </w:pPr>
    </w:p>
    <w:p>
      <w:pPr>
        <w:jc w:val="both"/>
        <w:ind w:firstLine="8"/>
        <w:spacing w:after="0" w:line="252" w:lineRule="auto"/>
        <w:tabs>
          <w:tab w:leader="none" w:pos="3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banks shall regulate its cooperation in online lending business with third-party institutions, signing cooperation agreements and clarifying the rights and responsibilities of each party for co-financing, IT cooperation and other businesses by category and shall not mix other services in the loan agreement or the capital contribution agreement. Commercial banks shall regularly assess the comprehensive financing costs for the loans cooperating with other institutions and shall restrict or terminate the cooperation if the cooperative institutions or their related parties pool the loan funds in violation of PRC laws, set unfair and unreasonable conditions for cooperation, fail to provide the necessary information for loan management, charge service fees not matching the service quality, or violate other provisions on online lending; (vi) commercial banks shall strengthen the compliance management of the marketing and promotional activities of the cooperative institutions, and clearly agreeing on relevant prohibited behaviors in the cooperation agreement.</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3, 2025, the National Financial Regulatory Administration issued the Notice on Strengthening the Supervision of Online Lending Business and Promoting Financial Services, effective from October 1, 2025. It mandates, among other things, the following key provisions: (i) bank headquarters shall maintain and publicly disclose on their official websites and mobile applications a whitelist of partnered online lending platforms; (iii) online lending platforms are prohibited from charging interest or other fees to borrowers; (iv) credit enhancement service providers are prohibited from charging service or consultation fees, as such practices are deemed to increase credit enhancement fees in a disguised form; and (v) banks and online lending platforms must fully disclose key information, including but not limited to lenders, annualized interest rates, credit enhancement providers and fees, annualized funding costs, post-default interest and costs, and must clearly state that no other fees will be charged to borrowers. These requirements also apply to consumer finance companies and trust companies engaged in online lending business.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3, 2026, the National Financial Regulatory Administration and the PBOC jointly issued the Provisions on Disclosure of Comprehensive Financing Costs for Personal Loan Business, which will take effect from August 1, 2026. The regulations further clarify that, when conducting personal loan business, lenders shall present a comprehensive financing cost disclosure statement to borrowers. The comprehensive financing cost disclosure statement must explicitly state that, apart from the cost items already disclosed, neither the lender nor its cooperating institutions shall charge borrowers any other fees or interest related to the loan.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our institutional funding partners include commercial banks, consumer finance companies, and trust companies, they are required to evaluate and review us as mandated by the Commercial Banks Online Lending Measure, the Notice on Strengthening the Supervision of Online Lending Business and Promoting Financial Services and the subsequent requirements issued by the CBIRC or the National Financial Regulatory Administration. If any of our institutional funding partners identifies any inadequacies in our evaluation and review, they may terminate their cooperation with us, which could materially and adversely affect our business and operating results. Furthermore, as an intermediary between institutional funding partners and borrowers, we cannot assure you that all the institutional funding partners we cooperate with have been and will continue to be in strict compliance with the Commercial Banks Online Lending Measure or other requirements issued by the CBIRC or the National Financial Regulatory Administration.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Loans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Civil Code of PRC</w:t>
      </w:r>
      <w:r>
        <w:rPr>
          <w:rFonts w:ascii="Times New Roman" w:cs="Times New Roman" w:eastAsia="Times New Roman" w:hAnsi="Times New Roman"/>
          <w:sz w:val="18"/>
          <w:szCs w:val="18"/>
          <w:color w:val="auto"/>
        </w:rPr>
        <w:t>, which was promulgated by the National People's Congress in May 2020 and became effective in January 2021, requires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interest rates charged under a loan agreement must not violate applicable provisions of the PRC laws and regulations. In the meantime, it also provides that the interest shall not be deducted from the proceeds of the loan in advance, and if the interest is deducted from the proceeds in advance, the loan shall be repaid and the interest shall be calculated based on the actual loan amount.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Provisions of the Supreme People’s Court on Several Issues Concerning the Application of Law in the Trial of Private Lending Cases</w:t>
      </w:r>
      <w:r>
        <w:rPr>
          <w:rFonts w:ascii="Times New Roman" w:cs="Times New Roman" w:eastAsia="Times New Roman" w:hAnsi="Times New Roman"/>
          <w:sz w:val="18"/>
          <w:szCs w:val="18"/>
          <w:color w:val="auto"/>
        </w:rPr>
        <w:t>,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Lending Judicial Interpretations, issued by the Supreme People’s Court, which came into effect on September 1, 2015, provided that agreements between lenders and borrowers on loans with interest rates below 24% per annum are valid and enforceable. As to the loans with interest rates per annum between 24% (exclusive) and 36% (inclusive), if the interest on the loans has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already been paid to the lender, and so long as such payment has not damaged the interest of the state, the community and any third parties, the courts will turn down the borrower’s request to demand the return of the excess interest payment. If the annual interest rate of a private loan is higher than 36%, the agreement on the excess part of the interest is invalid, and if the borrower requests the lender to return the part of interest exceeding 36% of the annual interest that has been paid, the courts will support such requests. In addition, on August 4, 2017, the Supreme People’s Court issued </w:t>
      </w:r>
      <w:r>
        <w:rPr>
          <w:rFonts w:ascii="Times New Roman" w:cs="Times New Roman" w:eastAsia="Times New Roman" w:hAnsi="Times New Roman"/>
          <w:sz w:val="18"/>
          <w:szCs w:val="18"/>
          <w:i w:val="1"/>
          <w:iCs w:val="1"/>
          <w:color w:val="auto"/>
        </w:rPr>
        <w:t>the Several Opinions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Further Strengthening the Judicial Work in the Finance Sector</w:t>
      </w:r>
      <w:r>
        <w:rPr>
          <w:rFonts w:ascii="Times New Roman" w:cs="Times New Roman" w:eastAsia="Times New Roman" w:hAnsi="Times New Roman"/>
          <w:sz w:val="18"/>
          <w:szCs w:val="18"/>
          <w:color w:val="auto"/>
        </w:rPr>
        <w:t>, which provided that (i) if the total amount of interest, compounded interest,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fees charged by a lender under a loan contract substantially exceeds the actual loss of such lender, the request by the debtor under such loan contract to reduce or to adjust the part of the aforementioned fees exceeding the amount accrued at an annual rate of 24% will be upheld; and (ii) in the context of private lending disputes, if the online lending information intermediaries and lenders circumvent the statutory limit of the interest rate by charging intermediary fees, such fees shall be deemed invalid.</w:t>
      </w:r>
    </w:p>
    <w:p>
      <w:pPr>
        <w:spacing w:after="0" w:line="1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Supreme People’s Court amended </w:t>
      </w:r>
      <w:r>
        <w:rPr>
          <w:rFonts w:ascii="Times New Roman" w:cs="Times New Roman" w:eastAsia="Times New Roman" w:hAnsi="Times New Roman"/>
          <w:sz w:val="18"/>
          <w:szCs w:val="18"/>
          <w:i w:val="1"/>
          <w:iCs w:val="1"/>
          <w:color w:val="auto"/>
        </w:rPr>
        <w:t>the Provisions of the Supreme People’s Court on Several Issues Concerning the Application of Law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Trial of Private Lending Cases </w:t>
      </w:r>
      <w:r>
        <w:rPr>
          <w:rFonts w:ascii="Times New Roman" w:cs="Times New Roman" w:eastAsia="Times New Roman" w:hAnsi="Times New Roman"/>
          <w:sz w:val="18"/>
          <w:szCs w:val="18"/>
          <w:color w:val="auto"/>
        </w:rPr>
        <w:t>on August 20, 2020, and then again on January 1, 2021. Under these amendments, if the service fees or other fees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VIE Group charge are deemed to be loan interest or fees related to loans (inclusive of any default rate and default penalty and any other fee), then in the event that the sum of the annualized interest that lenders charge and fees we and the VIE Group and our and the VIE Group’s business partners charge exceed four times the one-year Loan Prime Rate at the time of the establishment of the agreement, the borrower may refuse to pay the portion that exceeds the limit. In that case, PRC courts will not uphold our and the VIE Group’s request to demand the payment of fees that exceed the limit from the borrower. The aforementioned one-year Loan Prime Rate refers to the one-year Loan Prime Rate issued by the National Bank Interbank Funding Center. These new limits replace the upper limits on interest rates of 24% and 36% described in the Private Lending Judicial Interpretations. Moreover, if the lender and the borrower agree on both the overdue interest rate and the liquidated damages or other fees, the lender may choose to claim any or all of them, but the portion of the total exceeding the limit shall not be supported by the people’s court. The new limits apply to new first-instance cases of private lending disputes accepted by the people’s court after August 20, 2020. As to the cases in which the loan contract was established before August 20, 2020, if the lender requests that the court apply the old limits of 24% and 36% for calculating the loan interest accrued from the establishment of the loan contracts up to August 19, 2020, such request will be supported by the court, but the loan interest accrued from August 20, 2020 to the date of the loan repayment shall be calculated by applying the new limit of four times the one-year Loan Prime Rate at the time of the filing of the lawsuit.</w:t>
      </w:r>
    </w:p>
    <w:p>
      <w:pPr>
        <w:spacing w:after="0" w:line="18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29, 2020, the Supreme People’s Court also issued </w:t>
      </w:r>
      <w:r>
        <w:rPr>
          <w:rFonts w:ascii="Times New Roman" w:cs="Times New Roman" w:eastAsia="Times New Roman" w:hAnsi="Times New Roman"/>
          <w:sz w:val="18"/>
          <w:szCs w:val="18"/>
          <w:i w:val="1"/>
          <w:iCs w:val="1"/>
          <w:color w:val="auto"/>
        </w:rPr>
        <w:t>the Reply Regarding the Scope of Application of the New Private Lending Judicial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which provides that the two amendments are not applicable to disputes arising from the relevant financial business of micro-credit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licensed financing guarantee companies, and five other types of local financial organizations which are regulated by local financial authorities.</w:t>
      </w:r>
    </w:p>
    <w:p>
      <w:pPr>
        <w:spacing w:after="0" w:line="17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July 20, 2020, the Supreme People’s Court and the NDRC jointly released </w:t>
      </w:r>
      <w:r>
        <w:rPr>
          <w:rFonts w:ascii="Times New Roman" w:cs="Times New Roman" w:eastAsia="Times New Roman" w:hAnsi="Times New Roman"/>
          <w:sz w:val="18"/>
          <w:szCs w:val="18"/>
          <w:i w:val="1"/>
          <w:iCs w:val="1"/>
          <w:color w:val="auto"/>
        </w:rPr>
        <w:t>the Opinions on Providing Judicial Services and Safeguards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Accelerating the Improvement of the Socialist Market Economic System for the New Era</w:t>
      </w:r>
      <w:r>
        <w:rPr>
          <w:rFonts w:ascii="Times New Roman" w:cs="Times New Roman" w:eastAsia="Times New Roman" w:hAnsi="Times New Roman"/>
          <w:sz w:val="18"/>
          <w:szCs w:val="18"/>
          <w:color w:val="auto"/>
        </w:rPr>
        <w:t>. This document states that if the interest and fees,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compound interests, penalty interests and liquid damages, claimed by one party to the loan contract exceed the upper limit under judicial protection, the claim will not be supported by the court, and if the parties to the loan disguise the financing cost in an attempt to circumvent the upper limit, the rights and obligations of all parties to the loan will be determined by the actual loan relationship. In addition, this document indicates that the relevant governmental authorities should promptly revise and improve the judicial interpretation of the legal issues for private lending trial cases and significantly reduce the upper limit of private lending rates under judicial protection. The timetable and other details of the regulatory revisions proposed by this document remain uncertain.</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March 2021, the PBOC releases </w:t>
      </w:r>
      <w:r>
        <w:rPr>
          <w:rFonts w:ascii="Times New Roman" w:cs="Times New Roman" w:eastAsia="Times New Roman" w:hAnsi="Times New Roman"/>
          <w:sz w:val="18"/>
          <w:szCs w:val="18"/>
          <w:i w:val="1"/>
          <w:iCs w:val="1"/>
          <w:color w:val="auto"/>
        </w:rPr>
        <w:t>the Announcement No.3</w:t>
      </w:r>
      <w:r>
        <w:rPr>
          <w:rFonts w:ascii="Times New Roman" w:cs="Times New Roman" w:eastAsia="Times New Roman" w:hAnsi="Times New Roman"/>
          <w:sz w:val="18"/>
          <w:szCs w:val="18"/>
          <w:color w:val="auto"/>
        </w:rPr>
        <w:t>, or the Announcement, to ensure orderly competition in the loan market and protect the legitimate rights and interests of financial consumers, all loan products are required to expressly list their annualized interest rates, specifically: (i) all lending institutions are required to display the annualized rate of each loan product prominently on the website, mobile app, poster, and any other channels where the product is marketed, and specify the annualized rate in the loan contract. Daily and monthly interest rates may also be displayed if necessary, but not more prominently than the annualized interest rates; (ii) lending institutions include but are not limited to depository financial institutions, automobile finance companies, consumer finance companies, micro-lending companies, and internet platforms that advertise or display loan services; (iii) the annualized rate of a loan should be calculated as the annualized ratio of total costs (to borrower) to outstanding principal amount. The costs include interest and other fees and charges directly related to the loan. The amount of principal should be specified in the loan contract or other loan certificates. If the loan is repaid in installments, the outstanding principal amount should be the balance after each repayment; and (iv) the calculation of the annualized interest rate may be based on compound interest or simple interest. The calculation based on compound interest is equivalent to that of the internal rate of return, and the simple-interest approach should be specified as such.</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Financial Guarantee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Regulations on the Administration of Financing Guarantee Companies</w:t>
      </w:r>
      <w:r>
        <w:rPr>
          <w:rFonts w:ascii="Times New Roman" w:cs="Times New Roman" w:eastAsia="Times New Roman" w:hAnsi="Times New Roman"/>
          <w:sz w:val="18"/>
          <w:szCs w:val="18"/>
          <w:color w:val="auto"/>
        </w:rPr>
        <w:t>, or the Financing Guarantee Regulations, was promulgated by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Council on August 2, 2017 and took effect on October 1, 2017. According to the Financing Guarantee Regulations, the establishment of financing guarantee companies should be subject to the approval of the competent government authority, and unless otherwise stipulated, no entity is allowed to operate the financing guarantee business without such approval. If any entity operates the financing guarantee business without such approval, the entity may be subject to penalties, including termination or suspension of business, fines of RMB500,000 to RMB1,000,000, confiscation of illegal gains if any, and if the violation constitutes a criminal offense, criminal liability shall be imposed in accordance with the applicable laws and regulations. The maximum amount of outstanding guarantee liabilities of a financing guarantee company may not exceed ten times of its net assets.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addition, on October 9, 2019, CBIRC issued </w:t>
      </w:r>
      <w:r>
        <w:rPr>
          <w:rFonts w:ascii="Times New Roman" w:cs="Times New Roman" w:eastAsia="Times New Roman" w:hAnsi="Times New Roman"/>
          <w:sz w:val="18"/>
          <w:szCs w:val="18"/>
          <w:i w:val="1"/>
          <w:iCs w:val="1"/>
          <w:color w:val="auto"/>
        </w:rPr>
        <w:t>the Notice on Printing and Distributing the Supplementary Provisions on the Supervision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Financing Guarantee Companies</w:t>
      </w:r>
      <w:r>
        <w:rPr>
          <w:rFonts w:ascii="Times New Roman" w:cs="Times New Roman" w:eastAsia="Times New Roman" w:hAnsi="Times New Roman"/>
          <w:sz w:val="18"/>
          <w:szCs w:val="18"/>
          <w:color w:val="auto"/>
        </w:rPr>
        <w:t>, which provides that any entity providing client referral or credit assessment services to the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may not provide financing guarantee services in a direct or a disguised form without the regulatory approval. If any entity operates financing guarantee business without appropriate approval, its business operations will be banned by the regulatory authorities and it will be required to properly settle existing business.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July 14, 2020, the CBIRC issued </w:t>
      </w:r>
      <w:r>
        <w:rPr>
          <w:rFonts w:ascii="Times New Roman" w:cs="Times New Roman" w:eastAsia="Times New Roman" w:hAnsi="Times New Roman"/>
          <w:sz w:val="18"/>
          <w:szCs w:val="18"/>
          <w:i w:val="1"/>
          <w:iCs w:val="1"/>
          <w:color w:val="auto"/>
        </w:rPr>
        <w:t>the Guidelines for Off-Site Supervision of Financing Guarantee Companies</w:t>
      </w:r>
      <w:r>
        <w:rPr>
          <w:rFonts w:ascii="Times New Roman" w:cs="Times New Roman" w:eastAsia="Times New Roman" w:hAnsi="Times New Roman"/>
          <w:sz w:val="18"/>
          <w:szCs w:val="18"/>
          <w:color w:val="auto"/>
        </w:rPr>
        <w:t>, or the Off-Site Supervision Guidelines, which took effect on September 1, 2020. The Off-Site Supervision Guidelines provides, among others, that (i) the relevant regulatory authorities and CBIRC shall collect data and non-data information from the financing guarantee companies and banks respectively; (ii) financing guarantee companies shall establish and implement an off-site supervision information report system and submit data and non-data information timely according to the requirements of the competent regulatory authorities; and (iii) for the off-site supervision, the competent regulatory authorities shall mainly focus on the external operating environment, corporate governance, internal control, risk management capabilities, guarantee business, associated guarantee risks, asset quality, liquidity indicators and investment conditions of financing guarantee companies.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31, 2021, the PBOC issued </w:t>
      </w:r>
      <w:r>
        <w:rPr>
          <w:rFonts w:ascii="Times New Roman" w:cs="Times New Roman" w:eastAsia="Times New Roman" w:hAnsi="Times New Roman"/>
          <w:sz w:val="18"/>
          <w:szCs w:val="18"/>
          <w:i w:val="1"/>
          <w:iCs w:val="1"/>
          <w:color w:val="auto"/>
        </w:rPr>
        <w:t>the Regulations on Local Financial Supervision and Management (draft for comment)</w:t>
      </w:r>
      <w:r>
        <w:rPr>
          <w:rFonts w:ascii="Times New Roman" w:cs="Times New Roman" w:eastAsia="Times New Roman" w:hAnsi="Times New Roman"/>
          <w:sz w:val="18"/>
          <w:szCs w:val="18"/>
          <w:color w:val="auto"/>
        </w:rPr>
        <w:t>, or the Draft Regulations on Local Financial Supervision and Management. The Draft Regulations on Local Financial Supervision and Management stipulate: (i) In addition to the establishment of regional equity markets, the establishment of other Local Financial Organizations shall be approved by the provincial local financial supervision and management departments while the establishment of regional equity markets should be publicized by the provincial people's government, and reported to the State Council securities supervision and management agencies for the record. Local Financial Organizations refer to the establishment of microfinance companies, financing guarantee companies, regional equity markets, financial leasing companies, commercial factoring companies, local asset management companies and other institutions engaged in local financial business; (ii) Local Financial Organizations should serve the local, in principle, and shall not carry out business across the provinces; (iii) The financial management department of the State Council and local financial supervision and management departments should strengthen the monitoring, identification and disposal of illegal financial activities; (iv) Local Financial Organizations established before the implementation of the Draft Regulations on Local Financial Supervision and Management, shall meet the prescribed conditions within the period specified by the local financial supervision and management departments. While the Draft Regulations on Local Financial Supervision and Management had been released for consultation purpose, there is still uncertainty regarding the Draft Regulations on Local Financial Supervision and Management as to its final content, its adoption timeline or effective date, its final interpretation and implementation, and other aspects.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Sharing Information of and Imposing Disciplinary Measures on Discredited Parties subject to Enforcement</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Several Provisions on Announcement of the List of Discredited Parties Subject to Enforcement</w:t>
      </w:r>
      <w:r>
        <w:rPr>
          <w:rFonts w:ascii="Times New Roman" w:cs="Times New Roman" w:eastAsia="Times New Roman" w:hAnsi="Times New Roman"/>
          <w:sz w:val="18"/>
          <w:szCs w:val="18"/>
          <w:color w:val="auto"/>
        </w:rPr>
        <w:t xml:space="preserve"> promulgated by the Supreme People’s Court on July 16, 2013, and amended on February 28, 2017, or Several Provisions, provides the framework for collecting and sharing information of discredited parties which are subject to law enforcement actions. According to the Several Provisions, where a party subject to enforcement fails to perform the obligations determined in a valid legal document but he/she has the capacity to perform, under any of the following circumstances, a people’s court shall record him/her in the list of discredited parties subject to enforcement, and impose credit-related disciplinary measures pursuant to the law in cases if: (i) he/she hinders or resists enforcement by way of forging evidence, violence or coercion; (ii) he/she circumvents enforcement by way of false lawsuit, false arbitration or concealment or removal of properties; (iii) there is a violation of property reporting system; (iv) there is a violation of order to restrict consumption; or (v) he/she refuses to perform settlement agreement for enforcement without a valid reason.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Several Provisions further provide that people’s courts at all levels shall record the information of the discredited parties subject to enforcement in the database of the Supreme People’s Court, and announce such information to the public on a unified basis through such database. Furthermore, the people’s court at all levels may, based on the actual conditions of the locality, announce the list of discredited parties subject to enforcement by way of newspapers, radio, television, Internet, bulletin board of the court, and may hold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press conference or engage other methods for announcement of implementation status of lists of discredited parties subject to enforcement by these courts and courts within their respective jurisdictions.</w:t>
      </w:r>
    </w:p>
    <w:p>
      <w:pPr>
        <w:spacing w:after="0" w:line="16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the </w:t>
      </w:r>
      <w:r>
        <w:rPr>
          <w:rFonts w:ascii="Times New Roman" w:cs="Times New Roman" w:eastAsia="Times New Roman" w:hAnsi="Times New Roman"/>
          <w:sz w:val="18"/>
          <w:szCs w:val="18"/>
          <w:i w:val="1"/>
          <w:iCs w:val="1"/>
          <w:color w:val="auto"/>
        </w:rPr>
        <w:t>Notice on Issuing the Memorandum of Cooperation on Jointly Imposing Disciplinary Measures against Discredited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Subject to Enforcement </w:t>
      </w:r>
      <w:r>
        <w:rPr>
          <w:rFonts w:ascii="Times New Roman" w:cs="Times New Roman" w:eastAsia="Times New Roman" w:hAnsi="Times New Roman"/>
          <w:sz w:val="18"/>
          <w:szCs w:val="18"/>
          <w:color w:val="auto"/>
        </w:rPr>
        <w:t>promulgated by the NDRC and other government agencies on January 20, 2016, or the Joint Disciplinary Measures Memorandum,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NDRC will, on the basis of the national credit information sharing platform, establish a system for joint disciplinary measures against discredited acts. Through said system, Supreme People’s court shall provide other governmental agencies who have signed this Joint Disciplinary Measures Memorandum with the information of discredited parties subject to enforcement, and update such information according to the relevant provisions. Other governmental agencies shall obtain the information of discredited parties subject to enforcement via said system, implement or assist in implementing the disciplinary measures specified in the Joint Disciplinary Measures Memorandum, and report the information on implementation of such measures to the Supreme People’s Court and the NDRC via said system. The disciplinary measures for the discredited parties include, among others, (i) restrictions on participation in government procurement; (ii) restrictions on establishment of insurance companies and financing guarantee companies; (iii) provision of relevant information as a prudent reference for all financial institutions when financial institutions approve credit applications; (iv) restrictions on support of subsidy or social security funds; (v) provision of reference for accreditation of preferential policies; (vi) for individuals, restrictions on serving as legal representative, director or supervisor of wholly state-owned enterprises, legal representative of public institutions, public servants or staff members of public institutions; (vii) for individuals, restrictions on luxurious consumptions, including but not limited to taking airplanes, luxurious sleeping compartments on trains, higher star-rated hotels, night clubs or golf courses, and other consumption unnecessary for living and working.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Illegal Fund-Raising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Measures for the Banning of Illegal Financial Institutions and Illegal Financial Business Operations promulgated by the State Council in July 1998 and revised in 2011, and the Circular on Relevant Issues Concerning the Penalty on Illegal Fund-Raising issued by the General Office of the State Council in July 2007, explicitly prohibit illegal public fund-raising.</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Regulations on Preventing and Dealing with Illegal Fundraising, which came into effect in May 2021 and replaced the Measures for the Banning of Illegal Financial Institutions and Illegal Financial Business Operations, illegal fundraising involves collecting funds from non-specific targets with promised principal and interest or other investment returns, without lawful permission from the State Council’s financial management departments or in violation of China’s financial management rules. Provincial-level governments should have overall responsibility for anti-illegal fundraising efforts within their respective administrative regions, and local governments should build necessary work mechanisms. Financial and non-banking payment institutions should report large-value and suspicious transactions as required, and analyze and identify related accounts having suspected association with illegal fundraising.</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provide loan facilitation services and are not a party to the loans facilitated through our and the VIE Group’s platform. We and the VIE Group rely on third-party payment platforms in handling funds transfer and settlement.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Anti-money Laundering</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PRC Anti-money Laundering Law</w:t>
      </w:r>
      <w:r>
        <w:rPr>
          <w:rFonts w:ascii="Times New Roman" w:cs="Times New Roman" w:eastAsia="Times New Roman" w:hAnsi="Times New Roman"/>
          <w:sz w:val="18"/>
          <w:szCs w:val="18"/>
          <w:color w:val="auto"/>
        </w:rPr>
        <w:t>, which became effective in January 2007, and was recently amended in November 2024 and came into effect in January 2024, stipulates that institutions engaged in financial business as determined and announced by the administrative department of anti-money laundering under the State Council shall comply with the anti-money laundering obligations. The PBOC and other regulatory authorities issued a series of administrative regulations and rules to specify the anti-money laundering obligations of financial institutions and special non-financial institutions.</w:t>
      </w:r>
    </w:p>
    <w:p>
      <w:pPr>
        <w:spacing w:after="0" w:line="182"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8"/>
          <w:szCs w:val="18"/>
          <w:color w:val="auto"/>
        </w:rPr>
        <w:t>In cooperation with our and the VIE Group’s institutional funding partners, we and the VIE Group have adopted various policies and procedures, including “know-your-customer” procedures, customer due diligence, and customer screening procedures, for anti-money laundering purposes. However, as the detailed anti-money laundering regulations of loan facilitators have not been published, it remains to be observed as to how the anti-money laundering requirements will be interpreted and implemented and whether loan service providers like us must abide by the rules and procedures set forth in the PRC Anti-money Laundering Law that are applicable to nonfinancial institutions with anti-money laundering obligations. We and the VIE Group cannot assure you that our and the VIE Group’s existing anti-money laundering policies and procedures will be deemed to be in full compliance with any anti-money laundering laws and regulations that may become applicable to us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Corporation and Foreign Investment</w:t>
      </w:r>
    </w:p>
    <w:p>
      <w:pPr>
        <w:spacing w:after="0" w:line="227" w:lineRule="exact"/>
        <w:rPr>
          <w:sz w:val="20"/>
          <w:szCs w:val="20"/>
          <w:color w:val="auto"/>
        </w:rPr>
      </w:pPr>
    </w:p>
    <w:p>
      <w:pPr>
        <w:jc w:val="both"/>
        <w:ind w:firstLine="508"/>
        <w:spacing w:after="0" w:line="284" w:lineRule="auto"/>
        <w:rPr>
          <w:sz w:val="20"/>
          <w:szCs w:val="20"/>
          <w:color w:val="auto"/>
        </w:rPr>
      </w:pPr>
      <w:r>
        <w:rPr>
          <w:rFonts w:ascii="Times New Roman" w:cs="Times New Roman" w:eastAsia="Times New Roman" w:hAnsi="Times New Roman"/>
          <w:sz w:val="18"/>
          <w:szCs w:val="18"/>
          <w:color w:val="auto"/>
        </w:rPr>
        <w:t xml:space="preserve">The establishment, operation and management of corporate entities in the PRC are governed by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or the Company Law, which was promulgated by the SCNPC on December 29, 1993 and became effective on July 1, 1994, and was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amended on December 25, 1999, August 28, 2004, October 27, 2005, December 28, 2013 and October 26, 2018 respectively. Pursuant to the Company Law, companies are classified into two categories, namely limited liability companies and limited companies by shares. The Company Law also applies to foreign-invested limited liability companies and companies limited by shares. According to the Company Law, the provisions otherwise prescribed by the laws on foreign investment shall prevail.</w:t>
      </w:r>
    </w:p>
    <w:p>
      <w:pPr>
        <w:spacing w:after="0" w:line="178"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8"/>
          <w:szCs w:val="18"/>
          <w:color w:val="auto"/>
        </w:rPr>
        <w:t xml:space="preserve">Furthermore, the </w:t>
      </w:r>
      <w:r>
        <w:rPr>
          <w:rFonts w:ascii="Times New Roman" w:cs="Times New Roman" w:eastAsia="Times New Roman" w:hAnsi="Times New Roman"/>
          <w:sz w:val="18"/>
          <w:szCs w:val="18"/>
          <w:i w:val="1"/>
          <w:iCs w:val="1"/>
          <w:color w:val="auto"/>
        </w:rPr>
        <w:t>Company Law of the PRC (Revised in 2023)</w:t>
      </w:r>
      <w:r>
        <w:rPr>
          <w:rFonts w:ascii="Times New Roman" w:cs="Times New Roman" w:eastAsia="Times New Roman" w:hAnsi="Times New Roman"/>
          <w:sz w:val="18"/>
          <w:szCs w:val="18"/>
          <w:color w:val="auto"/>
        </w:rPr>
        <w:t>, or the Revised Company Law, was promulgated by the SCNPC on December 29, 2023 and will take effect on July 1, 2024. The major revisions made by the Revised Company Law include improvement of the system for the establishment and exit of companies, optimization of organizational structures of companies, improvement of the capital system of companies, strengthening the responsibilities of the controlling shareholder and senior management, enhancing the social responsibilities of companies, etc.</w:t>
      </w:r>
    </w:p>
    <w:p>
      <w:pPr>
        <w:spacing w:after="0" w:line="180"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8"/>
          <w:szCs w:val="18"/>
          <w:color w:val="auto"/>
        </w:rPr>
        <w:t xml:space="preserve">Investments in the PRC by foreign investors and foreign-invested enterprises are regulated by the </w:t>
      </w:r>
      <w:r>
        <w:rPr>
          <w:rFonts w:ascii="Times New Roman" w:cs="Times New Roman" w:eastAsia="Times New Roman" w:hAnsi="Times New Roman"/>
          <w:sz w:val="18"/>
          <w:szCs w:val="18"/>
          <w:i w:val="1"/>
          <w:iCs w:val="1"/>
          <w:color w:val="auto"/>
        </w:rPr>
        <w:t>Special Administrative Measures for Access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Foreign Investment (Negative List) (2024 Version), </w:t>
      </w:r>
      <w:r>
        <w:rPr>
          <w:rFonts w:ascii="Times New Roman" w:cs="Times New Roman" w:eastAsia="Times New Roman" w:hAnsi="Times New Roman"/>
          <w:sz w:val="18"/>
          <w:szCs w:val="18"/>
          <w:color w:val="auto"/>
        </w:rPr>
        <w:t>or the 2024 Negative List. The establishment of wholly foreign-owned enterprises is generally allowed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industries not included in the 2024 Negative List. Industries not listed in the 2024 Negative List are generally open to foreign investments unless specifically restricted by other applicable Chinese regulations. Under the 2024 Negative List, foreign equity in companies providing value-added telecommunications services, excluding e-commerce, domestic multi-party communications, data collection and transmission services, and call centers, should not exceed 50%.</w:t>
      </w:r>
    </w:p>
    <w:p>
      <w:pPr>
        <w:spacing w:after="0" w:line="1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National People’s Congress adopted the </w:t>
      </w:r>
      <w:r>
        <w:rPr>
          <w:rFonts w:ascii="Times New Roman" w:cs="Times New Roman" w:eastAsia="Times New Roman" w:hAnsi="Times New Roman"/>
          <w:sz w:val="18"/>
          <w:szCs w:val="18"/>
          <w:i w:val="1"/>
          <w:iCs w:val="1"/>
          <w:color w:val="auto"/>
        </w:rPr>
        <w:t>Foreign Investment Law</w:t>
      </w:r>
      <w:r>
        <w:rPr>
          <w:rFonts w:ascii="Times New Roman" w:cs="Times New Roman" w:eastAsia="Times New Roman" w:hAnsi="Times New Roman"/>
          <w:sz w:val="18"/>
          <w:szCs w:val="18"/>
          <w:color w:val="auto"/>
        </w:rPr>
        <w:t xml:space="preserve"> of the PRC on March 15, 2019 and its implementation regulation later on December 26, 2019, which became effective on January 1, 2020 and replaced three then existing laws on foreign investments in China, namely,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Joint Venture Law</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PRC Cooperative Joint Venture Law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Wholly Foreign-owned Enterprise Law</w:t>
      </w:r>
      <w:r>
        <w:rPr>
          <w:rFonts w:ascii="Times New Roman" w:cs="Times New Roman" w:eastAsia="Times New Roman" w:hAnsi="Times New Roman"/>
          <w:sz w:val="18"/>
          <w:szCs w:val="18"/>
          <w:color w:val="auto"/>
        </w:rPr>
        <w:t>, together with their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and ancillary 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of the PRC establishes the basic framework for the access to, and the promotion, protection and administration of foreign investments in view of investment protection and fair competition. Pursuant to the Foreign Investment Law of the PRC, China will grant national treatment to foreign invested entities, except for those foreign invested entities that operate in industries that fall within “restricted” or “prohibited” categories as prescribed in the “negative list” to be released or approved by the State Council.</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Furthermore, the </w:t>
      </w:r>
      <w:r>
        <w:rPr>
          <w:rFonts w:ascii="Times New Roman" w:cs="Times New Roman" w:eastAsia="Times New Roman" w:hAnsi="Times New Roman"/>
          <w:sz w:val="18"/>
          <w:szCs w:val="18"/>
          <w:i w:val="1"/>
          <w:iCs w:val="1"/>
          <w:color w:val="auto"/>
        </w:rPr>
        <w:t>Interim Administrative Measures for the Record-filing of the Incorporation and Change of Foreign-invested Enterprises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2018) </w:t>
      </w:r>
      <w:r>
        <w:rPr>
          <w:rFonts w:ascii="Times New Roman" w:cs="Times New Roman" w:eastAsia="Times New Roman" w:hAnsi="Times New Roman"/>
          <w:sz w:val="18"/>
          <w:szCs w:val="18"/>
          <w:color w:val="auto"/>
        </w:rPr>
        <w:t>was replaced by</w:t>
      </w:r>
      <w:r>
        <w:rPr>
          <w:rFonts w:ascii="Times New Roman" w:cs="Times New Roman" w:eastAsia="Times New Roman" w:hAnsi="Times New Roman"/>
          <w:sz w:val="18"/>
          <w:szCs w:val="18"/>
          <w:i w:val="1"/>
          <w:iCs w:val="1"/>
          <w:color w:val="auto"/>
        </w:rPr>
        <w:t xml:space="preserve"> Measures for the Reporting of Foreign Investment Information</w:t>
      </w:r>
      <w:r>
        <w:rPr>
          <w:rFonts w:ascii="Times New Roman" w:cs="Times New Roman" w:eastAsia="Times New Roman" w:hAnsi="Times New Roman"/>
          <w:sz w:val="18"/>
          <w:szCs w:val="18"/>
          <w:color w:val="auto"/>
        </w:rPr>
        <w:t>, or the Foreign Investment Information Measures.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Foreign Investment Information Measures.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Internet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 Services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PRC</w:t>
      </w:r>
      <w:r>
        <w:rPr>
          <w:rFonts w:ascii="Times New Roman" w:cs="Times New Roman" w:eastAsia="Times New Roman" w:hAnsi="Times New Roman"/>
          <w:sz w:val="18"/>
          <w:szCs w:val="18"/>
          <w:color w:val="auto"/>
        </w:rPr>
        <w:t>, or the Telecommunications Regulations, promulgated by the State Council on September 25, 2000 and amended on July 29, 2014 and February 6, 2016, provide a regulatory framework for telecommunication service providers in the PRC. The Telecommunications Regulations require telecommunication service providers to obtain an operating license prior to the commencement operations. The Telecommunications Regulations categorize telecommunication services into basic telecommunication services and value-added telecommunication services. According to the Catalog of Telecommunication Business, attached to the Telecommunications Regulations, both information services and online data processing and transaction processing services provided via fixed network, mobile network and Internet fall within value-added telecommunication services.</w:t>
      </w:r>
    </w:p>
    <w:p>
      <w:pPr>
        <w:spacing w:after="0" w:line="18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July 2017, the MIIT promulgated the </w:t>
      </w:r>
      <w:r>
        <w:rPr>
          <w:rFonts w:ascii="Times New Roman" w:cs="Times New Roman" w:eastAsia="Times New Roman" w:hAnsi="Times New Roman"/>
          <w:sz w:val="18"/>
          <w:szCs w:val="18"/>
          <w:i w:val="1"/>
          <w:iCs w:val="1"/>
          <w:color w:val="auto"/>
        </w:rPr>
        <w:t>Administrative Measures on Telecommunication Business Operating Licenses</w:t>
      </w:r>
      <w:r>
        <w:rPr>
          <w:rFonts w:ascii="Times New Roman" w:cs="Times New Roman" w:eastAsia="Times New Roman" w:hAnsi="Times New Roman"/>
          <w:sz w:val="18"/>
          <w:szCs w:val="18"/>
          <w:color w:val="auto"/>
        </w:rPr>
        <w:t>. Under these regulations, a commercial operator of value-added telecommunication services must first obtain a license for value-added telecommunication service business, or VATS License, from the MIIT or its provincial level counterparts.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0" w:name="page91"/>
    <w:bookmarkEnd w:id="9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July 2006, the Ministry of Information Industry of the PRC, the predecessor of the MIIT, issued the </w:t>
      </w:r>
      <w:r>
        <w:rPr>
          <w:rFonts w:ascii="Times New Roman" w:cs="Times New Roman" w:eastAsia="Times New Roman" w:hAnsi="Times New Roman"/>
          <w:sz w:val="18"/>
          <w:szCs w:val="18"/>
          <w:i w:val="1"/>
          <w:iCs w:val="1"/>
          <w:color w:val="auto"/>
        </w:rPr>
        <w:t>Circular on Strengthening the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Foreign Investment in the Operation of Value-added Telecommunication Business</w:t>
      </w:r>
      <w:r>
        <w:rPr>
          <w:rFonts w:ascii="Times New Roman" w:cs="Times New Roman" w:eastAsia="Times New Roman" w:hAnsi="Times New Roman"/>
          <w:sz w:val="18"/>
          <w:szCs w:val="18"/>
          <w:color w:val="auto"/>
        </w:rPr>
        <w:t>, which prohibits holders of telecommunication business licenses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transferring or selling their licenses in any form, or providing any resource, sites or facilities, to any foreign investor intending to conduct such business in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Mobile Internet Applications Information Services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Telecommunications Regulations and other regulations above, mobile application information service providers are especially regulated by the Administrative Provisions on Mobile Internet Applications Information Services, or the APP Provisions, which were promulgated by the CAC, on June 28, 2016 and amended on June 14, 2022. According to the APP Provisions, the CAC and its local counterparts shall be responsible for the supervision and administration of nationwide or local mobile application information, respectively.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APP Provisions, the APP information service providers shall satisfy relevant qualifications required by laws and regulations, strictly fulfill their responsibilities of information security management, and perform the following duties: (i) verify identities with the registered users through mobile phone numbers etc.; (ii) establish a mechanism for examining the content of the information; (iii) obtain an internet news and information services license or other administrative licenses for information services. In particular, the APP Provisions stipulate the obligations in relation to cyber security, data security and personal information protection, emphasizing the necessity for personal information collection and the fact that users shall not be denied the use of the basic function services of certain applications merely on account of their refusal to provide unnecessary personal information. The APP Provisions also set out the requirements for application distribution platforms, which include, among others, (i) filing the required information with the local network information administration authority within 30 days from the time the platform has become operational; and (ii) establishing classification management systems. If the applications violate the amended provisions, relevant laws and regulations, and service agreements, the application distribution platform shall take such measures as giving warnings, suspension of services, removal of the application from the platform, etc. It shall also keep relevant records and report the breach to competent authorities.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MIIT issued the Notice on the Further Special Rectification of Apps Infringing upon Users’ Personal Rights and Interests, or the Further Rectification Notice, on July 22, 2020. The notice requires that certain conducts of app service providers should be inspected with respect to (i) collecting personal information without the user’s consent, collecting or using personal information beyond the necessary scope of providing services, and forcing users to receive advertisements; (ii) requesting user’s permission in a compulsory and frequent manner, or frequently launching third-parties apps; and (iii) deceiving and misleading users into downloading apps or providing personal information. The notice also set forth that the period for the regulatory specific inspection on apps and that the MIIT will order the non-compliant entities to modify their business within five business days, or otherwise to make public announcement to remove the apps from the app stores and impose other administrative penalties.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have implemented necessary programs in our and the VIE Group’s mobile application to make sure the collection, protection and preservation of user information are in compliance with the APP Provisions in all material aspects.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Security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Internet information in China is regulated and restricted from a national security standpoint. The SCNPC, has enacted the </w:t>
      </w:r>
      <w:r>
        <w:rPr>
          <w:rFonts w:ascii="Times New Roman" w:cs="Times New Roman" w:eastAsia="Times New Roman" w:hAnsi="Times New Roman"/>
          <w:sz w:val="18"/>
          <w:szCs w:val="18"/>
          <w:i w:val="1"/>
          <w:iCs w:val="1"/>
          <w:color w:val="auto"/>
        </w:rPr>
        <w:t>Decisions on Maintaining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Internet Security </w:t>
      </w:r>
      <w:r>
        <w:rPr>
          <w:rFonts w:ascii="Times New Roman" w:cs="Times New Roman" w:eastAsia="Times New Roman" w:hAnsi="Times New Roman"/>
          <w:sz w:val="18"/>
          <w:szCs w:val="18"/>
          <w:color w:val="auto"/>
        </w:rPr>
        <w:t>on December 28, 2000 and further amended on August 27, 2009, which may subject violators to criminal punishment for any effort to: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improper entry into a computer or system of strategic importance; (ii) disseminate politically disruptive information; (iii) leak state secrets; (iv) spread false commercial information; or (v) infringe intellectual property rights.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Cyber Security Law of the PRC</w:t>
      </w:r>
      <w:r>
        <w:rPr>
          <w:rFonts w:ascii="Times New Roman" w:cs="Times New Roman" w:eastAsia="Times New Roman" w:hAnsi="Times New Roman"/>
          <w:sz w:val="18"/>
          <w:szCs w:val="18"/>
          <w:color w:val="auto"/>
        </w:rPr>
        <w:t xml:space="preserve"> promulgated by the SCNPC on November 7, 2016 and last amended on October 28, 2025, network operators, including Internet information service providers, shall comply with laws and regulations and fulfill their obligations to safeguard security of the network when conducting business and providing services, and take all necessary measures pursuant to laws, regulations and compulsory national requirements to safeguard the safe and stable operation of the networks, respond to network security incidents effectively, prevent illegal and criminal activities, and maintain the integrity, confidentiality and usability of network data.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Measures for Cybersecurity Review</w:t>
      </w:r>
      <w:r>
        <w:rPr>
          <w:rFonts w:ascii="Times New Roman" w:cs="Times New Roman" w:eastAsia="Times New Roman" w:hAnsi="Times New Roman"/>
          <w:sz w:val="18"/>
          <w:szCs w:val="18"/>
          <w:color w:val="auto"/>
        </w:rPr>
        <w:t xml:space="preserve"> were jointly issued on December 28, 2021 and took effect on February 15, 2022. The measures provide detailed rules regarding cyber security review, and any operator in violation of the regulations shall be penalized in accordance with the Cyber Security Law of the PRC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PRC Data Security Law. The Measures for Cybersecurity Review specifies that the procurement of network products and services by operator of critical information infrastructure and the activities of data process carried out by online platform operator that raise or may raise “national security” concerns are subject to strict cyber security review by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8"/>
          <w:szCs w:val="18"/>
          <w:color w:val="auto"/>
        </w:rPr>
        <w:t>Office of Cyber Security Review established by the CAC. In addition, online platform operators that possesses the personal data of at least one million users must apply for a review by the Cyber Security Review Office, if they plan listing of companies in foreign countries. The CAC may voluntarily conduct cyber security review if any network products and services, activities of data process or listing of companies overseas affects or may affect national security.</w:t>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Provisions for Text Message and Voice Call Service (Draft for Comments)</w:t>
      </w:r>
      <w:r>
        <w:rPr>
          <w:rFonts w:ascii="Times New Roman" w:cs="Times New Roman" w:eastAsia="Times New Roman" w:hAnsi="Times New Roman"/>
          <w:sz w:val="18"/>
          <w:szCs w:val="18"/>
          <w:color w:val="auto"/>
        </w:rPr>
        <w:t xml:space="preserve"> were published to solicit public comments on August 31, 2020. It provides that no entity or individual can send commercial text messages or make commercial calls to users without user consent. In case of violation, the relevant governmental authorities may order to make rectification, impose warnings or fines, make public announcements, or enforce other administrative measures. Under severe circumstances, the relevant governmental authorities may revoke the telecommunication licenses and phone number sources of the violating entity or individual.</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Ministry of Public Security issued the </w:t>
      </w:r>
      <w:r>
        <w:rPr>
          <w:rFonts w:ascii="Times New Roman" w:cs="Times New Roman" w:eastAsia="Times New Roman" w:hAnsi="Times New Roman"/>
          <w:sz w:val="18"/>
          <w:szCs w:val="18"/>
          <w:i w:val="1"/>
          <w:iCs w:val="1"/>
          <w:color w:val="auto"/>
        </w:rPr>
        <w:t>Guiding Opinions on Implementing the Network Security Level Protection System and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Infrastructure Security Protection System </w:t>
      </w:r>
      <w:r>
        <w:rPr>
          <w:rFonts w:ascii="Times New Roman" w:cs="Times New Roman" w:eastAsia="Times New Roman" w:hAnsi="Times New Roman"/>
          <w:sz w:val="18"/>
          <w:szCs w:val="18"/>
          <w:color w:val="auto"/>
        </w:rPr>
        <w:t>on July 22, 2020, which stipulate that internet operators shall cooperate with public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to crack down on illegal and criminal online activities. In the event of online crimes, material cyber security threats and incidents, the internet operators shall promptly report to and provide necessary assistance to the public security authorities.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PRC Data Security Law </w:t>
      </w:r>
      <w:r>
        <w:rPr>
          <w:rFonts w:ascii="Times New Roman" w:cs="Times New Roman" w:eastAsia="Times New Roman" w:hAnsi="Times New Roman"/>
          <w:sz w:val="18"/>
          <w:szCs w:val="18"/>
          <w:color w:val="auto"/>
        </w:rPr>
        <w:t>became effective on September 1, 2021. It establishes a data protection system based on the category and security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data in terms of its importance for economic and social development and the potential harm caused by illegal use of such data to national security, public interest or rights and interests of individuals and organizations. Competent governmental authorities shall be responsible to formulate lists for “key data”. Higher level of protection shall apply to “national core data” which refers to data that are vital to national security, economy, people’s livelihood and major public interests. According to the PRC Data Security Law, data activities affecting or likely to affect national security will be subject to national security review under the data security review system. The data relating to safeguarding national security and interests and performance of international obligations shall be subject to export control of China. In addition, the PRC Data Security Law provides that key data processors shall appoint a data security officer and establish a management department to take charge of data security, and such processors shall evaluate the risk of their data activities periodically and file assessment reports with the relevant regulatory authorities. Furthermore, data transaction intermediary service providers shall check the sources of the data, the identities of parties involved in the data transactions and keep records accordingly. Violation of the PRC Data Security Law may subject the relevant entities or individuals to warning, fines, suspension of business for rectification, revocation of permits or business licenses, and/or even criminal liabilities.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promulgated the Safe Protection Regulations which took effect on September 1, 2021. Pursuant to the Safe Protection Regulations, critical information infrastructure refers to important network infrastructure and information system in public telecommunications, information services, energy sources, transportation and other critical industries and domains, in which any destruction or data leakage will have severe impact on national security, the nation’s welfare, the people’s living and public interests. The Safe Protection Regulations provide specific requirements for the responsibilities and obligations of the operator: (i) the operator shall establish and improve the cyber security protection system and responsibility system, and ensure the input of manpower, financial and material resources; (ii) the operator shall set up a special security management department, and review the security background of the person in charge of the special security management department and the personnel in key positions; (iii) the operator shall guarantee the operation funds of the special security management department, allocate corresponding personnel, and have the personnel of the special security management department participate in the decision-making relating to cyber security and informatization; (iv) the operators shall give priority to the purchase of safe and reliable network products and services; network products and services procured that may affect the national security shall be subject to the security review in accordance with the national provisions on network security. The Safe Protection Regulations clarity the measures for dealing with the failure of key information infrastructure operators to perform their responsibilities for security protection, such as imposing fines.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2" w:name="page93"/>
    <w:bookmarkEnd w:id="92"/>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Administrative Provisions on Security Vulnerability of Network Products</w:t>
      </w:r>
      <w:r>
        <w:rPr>
          <w:rFonts w:ascii="Times New Roman" w:cs="Times New Roman" w:eastAsia="Times New Roman" w:hAnsi="Times New Roman"/>
          <w:sz w:val="18"/>
          <w:szCs w:val="18"/>
          <w:color w:val="auto"/>
        </w:rPr>
        <w:t>, or the Provisions was jointly promulgated by the MIIT, the CAC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Ministry of Public Security on July 12, 2021 and became effective on September 1, 2021. Network product providers, network operators as well as organizations or individuals engaging in the discovery, collection, release and other activities of network product security vulnerability are subject to the Provisions and shall establish channels to receive information of security vulnerability of their respective network products and shall examine and fix such security vulnerability in a timely manner. Network product providers are required to report relevant information of security vulnerability of network products with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 Provisions, the breaching parties may be subject to monetary fine as regulated in accordance with the Cyber Security Law of the PRC.</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September 30, 2024, the State Council released </w:t>
      </w:r>
      <w:r>
        <w:rPr>
          <w:rFonts w:ascii="Times New Roman" w:cs="Times New Roman" w:eastAsia="Times New Roman" w:hAnsi="Times New Roman"/>
          <w:sz w:val="18"/>
          <w:szCs w:val="18"/>
          <w:i w:val="1"/>
          <w:iCs w:val="1"/>
          <w:color w:val="auto"/>
        </w:rPr>
        <w:t>the Network Data Regulation</w:t>
      </w:r>
      <w:r>
        <w:rPr>
          <w:rFonts w:ascii="Times New Roman" w:cs="Times New Roman" w:eastAsia="Times New Roman" w:hAnsi="Times New Roman"/>
          <w:sz w:val="18"/>
          <w:szCs w:val="18"/>
          <w:color w:val="auto"/>
        </w:rPr>
        <w:t>, which serves as a comprehensive framework to enforce compliance with mandates outlined in the Cyber Security Law of the PRC, the PRC Data Security Law, and Personal Information Protection Law. The Network Data Regulation introduces several key obligations, including the requirement for network data handlers to specify the purpose and method of personal information handling, as well as the types of personal information involved, before such information is processed. It also clarifies definitions for important data, outlines the obligations of important data handlers, expands contractual requirements for data sharing between data handlers, and introduces a new exemption for regulatory obligations regarding cross-border data transfers.</w:t>
      </w:r>
    </w:p>
    <w:p>
      <w:pPr>
        <w:spacing w:after="0" w:line="1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have, in accordance with relevant provisions on the state network security and the requirements of the state’s system for classified protection of information security, conducted the record-filing of class determination and class testing of information system, possessed perfect network security facility and management system such as firewall, intrusion detection, data encryption and disaster recovery, etc.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Privacy Protection</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Several Provisions on Regulating the Market Order of Internet Information Services</w:t>
      </w:r>
      <w:r>
        <w:rPr>
          <w:rFonts w:ascii="Times New Roman" w:cs="Times New Roman" w:eastAsia="Times New Roman" w:hAnsi="Times New Roman"/>
          <w:sz w:val="18"/>
          <w:szCs w:val="18"/>
          <w:color w:val="auto"/>
        </w:rPr>
        <w:t>, issued by the MIIT in December 2011, provide that an Internet information service provider may not collect any user personal information or provide any such information to third parties without the consent of a user. An Internet information service provider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online information service providers must take immediate remedial measures and, in severe circumstances, make an immediate report to the telecommunication regulatory authority.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addition, pursuant to the </w:t>
      </w:r>
      <w:r>
        <w:rPr>
          <w:rFonts w:ascii="Times New Roman" w:cs="Times New Roman" w:eastAsia="Times New Roman" w:hAnsi="Times New Roman"/>
          <w:sz w:val="18"/>
          <w:szCs w:val="18"/>
          <w:i w:val="1"/>
          <w:iCs w:val="1"/>
          <w:color w:val="auto"/>
        </w:rPr>
        <w:t>Decision on Strengthening the Protection of Online Information</w:t>
      </w:r>
      <w:r>
        <w:rPr>
          <w:rFonts w:ascii="Times New Roman" w:cs="Times New Roman" w:eastAsia="Times New Roman" w:hAnsi="Times New Roman"/>
          <w:sz w:val="18"/>
          <w:szCs w:val="18"/>
          <w:color w:val="auto"/>
        </w:rPr>
        <w:t xml:space="preserve"> issued by the SCNPC in December 2012 and the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the Protection of Telecommunication and Internet User Personal Information </w:t>
      </w:r>
      <w:r>
        <w:rPr>
          <w:rFonts w:ascii="Times New Roman" w:cs="Times New Roman" w:eastAsia="Times New Roman" w:hAnsi="Times New Roman"/>
          <w:sz w:val="18"/>
          <w:szCs w:val="18"/>
          <w:color w:val="auto"/>
        </w:rPr>
        <w:t>issued by the MIIT in July 2013, any collection and use of user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must be subject to the consent of the user, abide by the principles of legality, rationality and necessity and be within the specified purposes, methods and scopes.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Ninth Amendment to the Criminal Law of the PRC</w:t>
      </w:r>
      <w:r>
        <w:rPr>
          <w:rFonts w:ascii="Times New Roman" w:cs="Times New Roman" w:eastAsia="Times New Roman" w:hAnsi="Times New Roman"/>
          <w:sz w:val="18"/>
          <w:szCs w:val="18"/>
          <w:color w:val="auto"/>
        </w:rPr>
        <w:t xml:space="preserve"> issued by the SCNPC in August 2015 and became effective in November, 2015, any Internet service provider that fails to fulfill the obligations related to Internet information security administration as required by applicable laws and refuses to rectify upon orders shall be subject to criminal penalty. On May 8, 2017, the Supreme People’s Court and the Supreme People’s Procuratorate released the </w:t>
      </w:r>
      <w:r>
        <w:rPr>
          <w:rFonts w:ascii="Times New Roman" w:cs="Times New Roman" w:eastAsia="Times New Roman" w:hAnsi="Times New Roman"/>
          <w:sz w:val="18"/>
          <w:szCs w:val="18"/>
          <w:i w:val="1"/>
          <w:iCs w:val="1"/>
          <w:color w:val="auto"/>
        </w:rPr>
        <w:t>Interpretations on Several Issues Concerning the Application of Law in the Handling of Criminal Cases Involving Infringement of Citizens’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 Information</w:t>
      </w:r>
      <w:r>
        <w:rPr>
          <w:rFonts w:ascii="Times New Roman" w:cs="Times New Roman" w:eastAsia="Times New Roman" w:hAnsi="Times New Roman"/>
          <w:sz w:val="18"/>
          <w:szCs w:val="18"/>
          <w:color w:val="auto"/>
        </w:rPr>
        <w:t>, or the Personal Information Judicial Interpretations, which became effective on June 1, 2017. The Personal Information Judicial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Interpretations provide more practical conviction and sentencing criteria for the infringement of citizens’ personal information and mark a milestone for the criminal protection of citizens’ personal information.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Civil Code of PRC</w:t>
      </w:r>
      <w:r>
        <w:rPr>
          <w:rFonts w:ascii="Times New Roman" w:cs="Times New Roman" w:eastAsia="Times New Roman" w:hAnsi="Times New Roman"/>
          <w:sz w:val="18"/>
          <w:szCs w:val="18"/>
          <w:color w:val="auto"/>
        </w:rPr>
        <w:t>, which was issued by the National People’s Congress on May 28, 2020 and became effective from January 1, 2021, provides that personal information of natural persons is protected by law. The Civil Code of the PRC defines the processing of personal information as the collection, storage, use, processing, transmittal, provision and disclosure of personal information. Furthermore, according to the Civil Code of PRC, any entity that engages in the processing of personal information must follow the principles of lawfulness, fairness, and necessity and may not overuse personal information, and they must obtain the consent of the natural person or his or her guardian, except as otherwise provided by laws and regulations.</w:t>
      </w:r>
    </w:p>
    <w:p>
      <w:pPr>
        <w:spacing w:after="0" w:line="183" w:lineRule="exact"/>
        <w:rPr>
          <w:sz w:val="20"/>
          <w:szCs w:val="20"/>
          <w:color w:val="auto"/>
        </w:rPr>
      </w:pPr>
    </w:p>
    <w:p>
      <w:pPr>
        <w:jc w:val="both"/>
        <w:ind w:firstLine="508"/>
        <w:spacing w:after="0" w:line="267" w:lineRule="auto"/>
        <w:rPr>
          <w:sz w:val="20"/>
          <w:szCs w:val="20"/>
          <w:color w:val="auto"/>
        </w:rPr>
      </w:pPr>
      <w:r>
        <w:rPr>
          <w:rFonts w:ascii="Times New Roman" w:cs="Times New Roman" w:eastAsia="Times New Roman" w:hAnsi="Times New Roman"/>
          <w:sz w:val="18"/>
          <w:szCs w:val="18"/>
          <w:color w:val="auto"/>
        </w:rPr>
        <w:t xml:space="preserve">On August 20, 2021, the SCNPC issued </w:t>
      </w:r>
      <w:r>
        <w:rPr>
          <w:rFonts w:ascii="Times New Roman" w:cs="Times New Roman" w:eastAsia="Times New Roman" w:hAnsi="Times New Roman"/>
          <w:sz w:val="18"/>
          <w:szCs w:val="18"/>
          <w:i w:val="1"/>
          <w:iCs w:val="1"/>
          <w:color w:val="auto"/>
        </w:rPr>
        <w:t>the Personal Information Protection Law</w:t>
      </w:r>
      <w:r>
        <w:rPr>
          <w:rFonts w:ascii="Times New Roman" w:cs="Times New Roman" w:eastAsia="Times New Roman" w:hAnsi="Times New Roman"/>
          <w:sz w:val="18"/>
          <w:szCs w:val="18"/>
          <w:color w:val="auto"/>
        </w:rPr>
        <w:t>, which came into effect from November 1, 2021. The Personal Information Protection Law reiterates the circumstances under which a personal information processor could process personal information and the requirements for such circumstances, such as when (i) the individual’s consent has been obtained; (ii) the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93" w:name="page94"/>
    <w:bookmarkEnd w:id="93"/>
    <w:p>
      <w:pPr>
        <w:jc w:val="both"/>
        <w:spacing w:after="0" w:line="251" w:lineRule="auto"/>
        <w:rPr>
          <w:sz w:val="20"/>
          <w:szCs w:val="20"/>
          <w:color w:val="auto"/>
        </w:rPr>
      </w:pPr>
      <w:r>
        <w:rPr>
          <w:rFonts w:ascii="Times New Roman" w:cs="Times New Roman" w:eastAsia="Times New Roman" w:hAnsi="Times New Roman"/>
          <w:sz w:val="18"/>
          <w:szCs w:val="18"/>
          <w:color w:val="auto"/>
        </w:rPr>
        <w:t>processing is necessary for the conclusion or performance of a contract to which the individual is a party; (iii) the processing is necessary to fulfill statutory duties and statutory obligations; (iv) the processing is necessary to respond to public health emergencies or protect natural persons’ life, health and property safety under emergency circumstances; (v) the personal information that has been made public is processed within a reasonable scope in accordance with this law; (vi) personal information is processed within a reasonable scope to conduct news reporting, public opinion-based supervision, and other activities in the public interest; or (vii) under any other circumstance as provided by any law or regulation. It also stipulates the obligations of a personal information processor. The Personal Information Protection Law clarifies the definition of “Sensitive Personal Information”, which means personal information that, once leaked or illegally used, may give rise to discrimination against individuals or seriously endanger personal or property security, including information on race, ethnicity, religious beliefs, personal biometric features, medical health, financial accounts, and personal whereabouts, among others. To process sensitive personal information based on an individual’s consent, a personal information processor shall obtain the separate consent from the individual. Where any law or administrative regulation provides that written consent shall be obtained for processing sensitive personal information, such provision shall prevail. In terms of cross-border transmission of personal information, pursuant to the Personal Information Protection Law, a personal information processor, providing personal information to any party outside the territory of the PRC, shall notify individuals of the overseas recipient’s identity, contact information, processing purposes, processing methods, categories of personal information, the methods in which individuals exercise the rights over the overseas recipient, and other matters, and obtain individuals’ separate consent. Furthermore, critical information infrastructure operators and the personal information processors that process the personal information reaching or exceeding the threshold specified by the national cyberspace administration in terms of quantity shall store domestically the personal information collected and generated within the territory of the PRC. Where it is truly necessary to provide the information abroad, the security assessment organized by the national cyberspace administration shall be passed, unless otherwise regulated by laws, administrative regulations, or provisions issued by the national cyberspace administrative authorities. The Personal Information Protection Law provides that if an overseas organization or individual engages in personal information processing activities that damage the rights and interests relating to personal information of citizens of the PRC or compromise national security or public interests of the PRC, the national cyberspace administration may include it or him in a list of those the provision of personal information to whom is restricted or prohibited, make an announcement, and take measures such as restricting or prohibiting the provision of personal information to it or him. On the other hand, personal information processors shall themselves, on the basis of the purposes of the processing of personal information, processing methods, categories of personal information, the impacts on individuals, and potential security risks, among others, take necessary measures to ensure that personal information processing activities comply with the provisions of laws and administrative regulations, and prevent unauthorized access to as well as the leakage, tampering or loss of personal information.</w:t>
      </w:r>
    </w:p>
    <w:p>
      <w:pPr>
        <w:spacing w:after="0" w:line="20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While we and the VIE Group have taken measures to protect the confidential information that we and the VIE Group have access to, our and the VIE Group’s security measures could be breached. Any accidental or willful security breaches or other unauthorized access to our and the VIE Group’s platform could cause confidential information of lenders and borrowers to be stolen and used for criminal purposes. Security breaches or unauthorized access to confidential information could also expose us to liability related to the loss of information, time-consuming and expensive litigation and negative publicity. See “Item 3. Key Information—D. Risk Factors—Risks Relating to Our Business and Industry—If we and the VIE Group are unable to protect the confidential information of our and the VIE Group’s users and adapt to the relevant regulatory framework regarding protection of such information, our and the VIE Group’s business and operations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Advertising</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Advertising Law of the PRC</w:t>
      </w:r>
      <w:r>
        <w:rPr>
          <w:rFonts w:ascii="Times New Roman" w:cs="Times New Roman" w:eastAsia="Times New Roman" w:hAnsi="Times New Roman"/>
          <w:sz w:val="18"/>
          <w:szCs w:val="18"/>
          <w:color w:val="auto"/>
        </w:rPr>
        <w:t>, promulgated by the SCNPC on October 27, 1994 and last amended on April 29, 2021, sets out certain content requirements for advertisements in the PRC, including the prohibition of false or misleading content, superlatives wording, destabilizing content or content that involves obscenity, superstition, violence, discrimination or infringement of the public interest. Advertisers, advertising agents and advertising distributors are required to ensure that the contents of the advertisements they prepare or publish are truthful and fully comply with applicable laws. In providing advertising services, advertising operators and advertisement publishers shall review the supporting documents provided by the advertisers for the advertisements and verify that the contents of the advertisements comply with applicable PRC laws and regulations.</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February 25, 2023, the State Administration for Market Regulation, or the SAMR promulgated </w:t>
      </w:r>
      <w:r>
        <w:rPr>
          <w:rFonts w:ascii="Times New Roman" w:cs="Times New Roman" w:eastAsia="Times New Roman" w:hAnsi="Times New Roman"/>
          <w:sz w:val="18"/>
          <w:szCs w:val="18"/>
          <w:i w:val="1"/>
          <w:iCs w:val="1"/>
          <w:color w:val="auto"/>
        </w:rPr>
        <w:t>the Administrative Measures for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Advertising</w:t>
      </w:r>
      <w:r>
        <w:rPr>
          <w:rFonts w:ascii="Times New Roman" w:cs="Times New Roman" w:eastAsia="Times New Roman" w:hAnsi="Times New Roman"/>
          <w:sz w:val="18"/>
          <w:szCs w:val="18"/>
          <w:color w:val="auto"/>
        </w:rPr>
        <w:t>, which came to effect on May 1, 2023 and replaced the Internet Advertising Measures. Pursuant to the</w:t>
      </w:r>
      <w:r>
        <w:rPr>
          <w:rFonts w:ascii="Times New Roman" w:cs="Times New Roman" w:eastAsia="Times New Roman" w:hAnsi="Times New Roman"/>
          <w:sz w:val="18"/>
          <w:szCs w:val="18"/>
          <w:i w:val="1"/>
          <w:iCs w:val="1"/>
          <w:color w:val="auto"/>
        </w:rPr>
        <w:t xml:space="preserve"> Administrative Measures for Internet Advertising</w:t>
      </w:r>
      <w:r>
        <w:rPr>
          <w:rFonts w:ascii="Times New Roman" w:cs="Times New Roman" w:eastAsia="Times New Roman" w:hAnsi="Times New Roman"/>
          <w:sz w:val="18"/>
          <w:szCs w:val="18"/>
          <w:color w:val="auto"/>
        </w:rPr>
        <w:t>, internet advertisers are responsible for the authenticity of the contents of the advertisements and may publish advertisements on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their own websites or through the internet media they own, or entrust internet advertising operators or advertisement publishers to publish advertisements. The Administrative Measures for Internet Advertising also provides that internet advertisement shall be identifiable, enabling consumers to identify it as an advertisement. Internet platform operators shall take measures to prevent and deter illegal advertisements in the course of providing internet information services. In addition, users shall not be deceived or misled into clicking or viewing advertisements by: (i) false system or software updates, bug reports, removals, notifications and other prompts; (ii) false signals such as play, start, pause, stop and return; (iii) false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reward promises; and (iv) other ways to deceive or mislead users. The administrative department of market regulation is the relevant local administrative authority to supervise and punish any illegal acts in internet advertising. Any violation of the Administrative Measures for Internet Advertising, may be subject to fines, prohibition of advertisements for a period of time or revocation of business licenses and other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PRC has adopted comprehensive legislation governing intellectual property rights, including copyrights, patents, trademarks and domain names.</w:t>
      </w:r>
    </w:p>
    <w:p>
      <w:pPr>
        <w:spacing w:after="0" w:line="200" w:lineRule="exact"/>
        <w:rPr>
          <w:sz w:val="20"/>
          <w:szCs w:val="20"/>
          <w:color w:val="auto"/>
        </w:rPr>
      </w:pPr>
    </w:p>
    <w:p>
      <w:pPr>
        <w:spacing w:after="0" w:line="24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Copyright</w:t>
      </w:r>
      <w:r>
        <w:rPr>
          <w:rFonts w:ascii="Times New Roman" w:cs="Times New Roman" w:eastAsia="Times New Roman" w:hAnsi="Times New Roman"/>
          <w:sz w:val="18"/>
          <w:szCs w:val="18"/>
          <w:color w:val="auto"/>
        </w:rPr>
        <w:t>. Copyright in the PRC, including copyrighted software, is principally protected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PRC Copyright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related regulations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rules. Under the </w:t>
      </w:r>
      <w:r>
        <w:rPr>
          <w:rFonts w:ascii="Times New Roman" w:cs="Times New Roman" w:eastAsia="Times New Roman" w:hAnsi="Times New Roman"/>
          <w:sz w:val="18"/>
          <w:szCs w:val="18"/>
          <w:i w:val="1"/>
          <w:iCs w:val="1"/>
          <w:color w:val="auto"/>
        </w:rPr>
        <w:t>PRC Copyright Law</w:t>
      </w:r>
      <w:r>
        <w:rPr>
          <w:rFonts w:ascii="Times New Roman" w:cs="Times New Roman" w:eastAsia="Times New Roman" w:hAnsi="Times New Roman"/>
          <w:sz w:val="18"/>
          <w:szCs w:val="18"/>
          <w:color w:val="auto"/>
        </w:rPr>
        <w:t>, the term of protection for copyrighted software is 50 years.</w:t>
      </w:r>
    </w:p>
    <w:p>
      <w:pPr>
        <w:spacing w:after="0" w:line="15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PRC Patent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for patentable inventions, utility models and designs, which must meet three conditions: novelty,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inventiveness and practical applicability. The China National Intellectual Property Administration is responsible for examining and approving patent applications. A patent is valid for twenty years in the case of an invention, ten years in the case of utility models and fifteen years in case of designs.</w:t>
      </w:r>
    </w:p>
    <w:p>
      <w:pPr>
        <w:spacing w:after="0" w:line="17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Trademark</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PRC Trademark Law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promulgated on August 23, 1982 and most recently revised on April 23, 2019 and became effective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November 1, 2019, and its implementation rules promulgated on August 3, 2002 and revised on April 29, 2014, protect registered trademarks. The </w:t>
      </w:r>
      <w:r>
        <w:rPr>
          <w:rFonts w:ascii="Times New Roman" w:cs="Times New Roman" w:eastAsia="Times New Roman" w:hAnsi="Times New Roman"/>
          <w:sz w:val="18"/>
          <w:szCs w:val="18"/>
          <w:i w:val="1"/>
          <w:iCs w:val="1"/>
          <w:color w:val="auto"/>
        </w:rPr>
        <w:t>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Trademark Law </w:t>
      </w:r>
      <w:r>
        <w:rPr>
          <w:rFonts w:ascii="Times New Roman" w:cs="Times New Roman" w:eastAsia="Times New Roman" w:hAnsi="Times New Roman"/>
          <w:sz w:val="18"/>
          <w:szCs w:val="18"/>
          <w:color w:val="auto"/>
        </w:rPr>
        <w:t>has adopted a “first-to-file” principle with respect to trademark registration. The Trademark Office under the China National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Administration is responsible for the registration and administration of trademarks throughout the PRC, and grants a term of 10 years to registered trademarks and another 10 years if requested upon expiry of the initial or extended term. Trademark license agreements must be filed with the Trademark Office for record.</w:t>
      </w:r>
    </w:p>
    <w:p>
      <w:pPr>
        <w:spacing w:after="0" w:line="18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Domain Name</w:t>
      </w:r>
      <w:r>
        <w:rPr>
          <w:rFonts w:ascii="Times New Roman" w:cs="Times New Roman" w:eastAsia="Times New Roman" w:hAnsi="Times New Roman"/>
          <w:sz w:val="18"/>
          <w:szCs w:val="18"/>
          <w:color w:val="auto"/>
        </w:rPr>
        <w:t>. Domain names are protected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Administrative Measures on the Internet Domain Names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promulgated by the MIIT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the completion of the application procedure. Our and the VIE Group’s major domain name “niwodai.com” has been registered.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Mergers and Acquisitions and Overseas Listings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Six PRC regulatory authorities, including the CSRC, jointly adopted the </w:t>
      </w:r>
      <w:r>
        <w:rPr>
          <w:rFonts w:ascii="Times New Roman" w:cs="Times New Roman" w:eastAsia="Times New Roman" w:hAnsi="Times New Roman"/>
          <w:sz w:val="18"/>
          <w:szCs w:val="18"/>
          <w:i w:val="1"/>
          <w:iCs w:val="1"/>
          <w:color w:val="auto"/>
        </w:rPr>
        <w:t>Regulations on Mergers and Acquisitions of Domestic Enterprises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Investors</w:t>
      </w:r>
      <w:r>
        <w:rPr>
          <w:rFonts w:ascii="Times New Roman" w:cs="Times New Roman" w:eastAsia="Times New Roman" w:hAnsi="Times New Roman"/>
          <w:sz w:val="18"/>
          <w:szCs w:val="18"/>
          <w:color w:val="auto"/>
        </w:rPr>
        <w:t>, or the M&amp;A Rules, which became effective in September 2006 and were amended on June 22, 2009. The M&amp;A Rules,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require offshore SPVs formed for overseas listing purposes through acquisitions of PRC domestic companies and controlled by PRC companies or individuals, to obtain the approval of the CSRC prior to publicly listing their securities on an overseas stock exchange.</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17, 2023, the CSRC promulgated the Trial Administrative Measures and five supporting guidelines, which became effective on March 31, 2023. Pursuant to the Trial Administrative Measures, PRC domestic enterprises that directly or indirectly offer or list their securities in an overseas market, which include (i) any PRC company limited by shares, and (ii) any offshore company that conducts its business operations primarily in China and contemplates to offer or list its securities in an overseas market based on its onshore equities, assets or similar interests, are required to complete the filing with the CSRC. Specifically, (i) where PRC domestic enterprises conduct overseas initial public offering or listing, or offer and list securities in other overseas markets upon completion of overseas offering and listing, PRC domestic enterprises shall file with the CSRC within three business days after its application for overseas offering and listing is submitted; and (ii) where PRC domestic enterprises offer securities in the same overseas market upon completion of overseas offering and listing, PRC domestic enterprises shall file with the CSRC within three business days after completion of offering. In addition, PRC domestic enterprises are required to report detailed information of material events after the completion of overseas offering and listing within three business days after the relevant events occur and are announced, including (i) change of control right; (ii) investigation, penalties or other measures imposed by overseas securities regulatory authorities or competent departments; (iii) change of listing status or listing board; and (iv) voluntary termination of listing or compulsory termination of listing. Failure to complete the filing under the Trial Administrative Measures may subject a PRC domestic enterprise to rectification ordered by the CSRC, warning, and fine of RMB1 million to RMB10 million.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24, 2023, the CSRC and other relevant government authorities promulgated the Provisions on Confidentiality and Archives Management, which became effective on March 31, 2023. Pursuant to the Provision on Confidentiality and Archives Management, PRC domestic enterprises that seek to offer and list securities in overseas markets shall establish confidentiality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archives management system. The PRC domestic enterprises shall obtain approval from the competent authority and file with the confidential administration department at the same level when providing or publicly disclosing documents and materials related to state secrets or secrets of the governmental authorities to the underwriters or other agencies or the offshore regulatory authorities, and shall complete corresponding procedures when providing or publicly disclosing documents and materials which may adversely influence national security and the public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China are </w:t>
      </w:r>
      <w:r>
        <w:rPr>
          <w:rFonts w:ascii="Times New Roman" w:cs="Times New Roman" w:eastAsia="Times New Roman" w:hAnsi="Times New Roman"/>
          <w:sz w:val="18"/>
          <w:szCs w:val="18"/>
          <w:i w:val="1"/>
          <w:iCs w:val="1"/>
          <w:color w:val="auto"/>
        </w:rPr>
        <w:t>the Foreign Exchange Administration Regulations</w:t>
      </w:r>
      <w:r>
        <w:rPr>
          <w:rFonts w:ascii="Times New Roman" w:cs="Times New Roman" w:eastAsia="Times New Roman" w:hAnsi="Times New Roman"/>
          <w:sz w:val="18"/>
          <w:szCs w:val="18"/>
          <w:color w:val="auto"/>
        </w:rPr>
        <w:t>, most recently amended in August 2008. Under the Foreign Exchange Administration Regulations, payments of current account items, such as profit distributions, interest payments and trade and service-related foreign exchange transactions, can be made in foreign currencies without prior approval from the SAFE by complying with certain procedural requirements. By contrast, approval from or registration with appropriate regulatory authorities is required where Renminbi is to be converted into foreign currency and remitted out of China to pay capital account items, such as direct investment, repayment of foreign currency-denominated loans, repatriation of investment and investment in securities outside of China.</w:t>
      </w:r>
    </w:p>
    <w:p>
      <w:pPr>
        <w:spacing w:after="0" w:line="1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2015, the SAFE promulgated SAFE Circular 19, which was partially abolished on December 30, 2019, to expand the reform nationwide. Under SAFE Circular 19, the foreign exchange capital in the capital account of foreign-invested enterprises upon the confirmation of rights and interests of monetary contribution by the local branches of the SAFE (or the book-entry registration of monetary contribution by the banks) can be settled at the banks based on the actual operation needs of the enterprises. The proportion of discretionary settlement of foreign exchange capital of foreign-invested enterprises is currently 100%. The SAFE can adjust such proportion in due time based on the circumstances of international balance of payments. On June 9, 2016, the SAFE promulgated the SAFE Circular 16, SAFE Circular 16 continue to prohibit foreign-invested enterprises from, among other things, using Renminbi fund converted from its foreign exchange capitals for expenditure beyond its business scope, investment and financing (except for security investment or guarantee products issued by bank), providing loans to non-affiliated enterprises or constructing or purchasing real estate not for self-use. See “Item 3. Key Information—D. Risk Factors—Risks Relating to Doing Business in China—PRC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w:t>
      </w:r>
    </w:p>
    <w:p>
      <w:pPr>
        <w:spacing w:after="0" w:line="188"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8"/>
          <w:szCs w:val="18"/>
          <w:color w:val="auto"/>
        </w:rPr>
        <w:t xml:space="preserve">On January 26, 2017, the SAFE issued </w:t>
      </w:r>
      <w:r>
        <w:rPr>
          <w:rFonts w:ascii="Times New Roman" w:cs="Times New Roman" w:eastAsia="Times New Roman" w:hAnsi="Times New Roman"/>
          <w:sz w:val="18"/>
          <w:szCs w:val="18"/>
          <w:i w:val="1"/>
          <w:iCs w:val="1"/>
          <w:color w:val="auto"/>
        </w:rPr>
        <w:t>the Circular on Further Improving Reform of Foreign Exchange Administration and Optimizing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Genuineness and Compliance Verification</w:t>
      </w:r>
      <w:r>
        <w:rPr>
          <w:rFonts w:ascii="Times New Roman" w:cs="Times New Roman" w:eastAsia="Times New Roman" w:hAnsi="Times New Roman"/>
          <w:sz w:val="18"/>
          <w:szCs w:val="18"/>
          <w:color w:val="auto"/>
        </w:rPr>
        <w:t>, or SAFE Circular 3, which stipulates several capital control measures with respect to the outbound remittance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profit from domestic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pursuant to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183"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8"/>
          <w:szCs w:val="18"/>
          <w:color w:val="auto"/>
        </w:rPr>
        <w:t xml:space="preserve">On April 14, 2020, SAFE issued </w:t>
      </w:r>
      <w:r>
        <w:rPr>
          <w:rFonts w:ascii="Times New Roman" w:cs="Times New Roman" w:eastAsia="Times New Roman" w:hAnsi="Times New Roman"/>
          <w:sz w:val="18"/>
          <w:szCs w:val="18"/>
          <w:i w:val="1"/>
          <w:iCs w:val="1"/>
          <w:color w:val="auto"/>
        </w:rPr>
        <w:t>the Notice on Optimizing Foreign Exchange Administration to Support the Development of Foreign-related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It stipulates that on the premise of ensuring the true and compliant use of funds and compliance with the existing regulations on use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capital account, enterprises which satisfy the criteria are allowed to use income under the capital account, such as capital funds, foreign debt and overseas listing for domestic payment, without prior provision of proof materials for veracity to the bank for each transaction. The authority to process the deregistration of qualified overseas loans under domestic guarantee and overseas lending shall be delegated to banks.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 Registration of Offshore Investment by PRC Residents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SAFE promulgated the </w:t>
      </w:r>
      <w:r>
        <w:rPr>
          <w:rFonts w:ascii="Times New Roman" w:cs="Times New Roman" w:eastAsia="Times New Roman" w:hAnsi="Times New Roman"/>
          <w:sz w:val="18"/>
          <w:szCs w:val="18"/>
          <w:i w:val="1"/>
          <w:iCs w:val="1"/>
          <w:color w:val="auto"/>
        </w:rPr>
        <w:t>Circular on Relevant Issues Relating to PRC Resident’s Investment and Financing and Roundtrip Investment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Purpose Vehicles</w:t>
      </w:r>
      <w:r>
        <w:rPr>
          <w:rFonts w:ascii="Times New Roman" w:cs="Times New Roman" w:eastAsia="Times New Roman" w:hAnsi="Times New Roman"/>
          <w:sz w:val="18"/>
          <w:szCs w:val="18"/>
          <w:color w:val="auto"/>
        </w:rPr>
        <w:t>, or SAFE Circular 37, on July 4, 2014, which replaced the former circular commonly known as “SAFE Circular 75.”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37 requires PRC residents to register with local branches of the SAFE in connection with their direct establishment or indirect control of an offshore entity, for the purpose of offshore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residents, share transfer or exchange, merger, division or other material event.</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February 13, 2015, the SAFE promulgated the </w:t>
      </w:r>
      <w:r>
        <w:rPr>
          <w:rFonts w:ascii="Times New Roman" w:cs="Times New Roman" w:eastAsia="Times New Roman" w:hAnsi="Times New Roman"/>
          <w:sz w:val="18"/>
          <w:szCs w:val="18"/>
          <w:i w:val="1"/>
          <w:iCs w:val="1"/>
          <w:color w:val="auto"/>
        </w:rPr>
        <w:t>Circular on Further Simplifying and Improving the Administration of the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Direct Investment</w:t>
      </w:r>
      <w:r>
        <w:rPr>
          <w:rFonts w:ascii="Times New Roman" w:cs="Times New Roman" w:eastAsia="Times New Roman" w:hAnsi="Times New Roman"/>
          <w:sz w:val="18"/>
          <w:szCs w:val="18"/>
          <w:color w:val="auto"/>
        </w:rPr>
        <w:t>, or SAFE Circular 13, the attachment of which was partially abolished on December 30, 2019. After SAFE Circular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became effective on June 1, 2015, instead of applying for approvals regarding foreign exchange registrations of foreign direct investment and offshore direct investment from the SAFE, entities and individuals will be required to apply for such foreign exchange registrations from qualified banks. The qualified banks, under the supervision of the SAFE, will directly examine the applications and conduct the registration.</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 Mr. Dinggui Yan, Mr. Guanglin Zhang and Mr. Yuanle Wu, who directly or indirectly hold shares in our Cayman Islands holding company and who are known to us as being PRC residents, have completed their SAFE registration pursuant to SAFE Circular 37.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Employee Share Incentive Plans of Overseas Publicly-Listed Company</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Circular on Issues Concerning the Foreign Exchange Administration for Domestic Individuals Participating in Share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Overseas Publicly-Listed Company</w:t>
      </w:r>
      <w:r>
        <w:rPr>
          <w:rFonts w:ascii="Times New Roman" w:cs="Times New Roman" w:eastAsia="Times New Roman" w:hAnsi="Times New Roman"/>
          <w:sz w:val="18"/>
          <w:szCs w:val="18"/>
          <w:color w:val="auto"/>
        </w:rPr>
        <w:t>, issued by the SAFE in February 2012, individuals participating in any share incentive plan of any overseas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company who are PRC citizens or non-PRC citizens who reside in China for a continuous period of not less than one year, subject to a few exceptions, are required to register with the SAFE through a domestic qualified agent, which could be a PRC subsidiary of such overseas publicly listed company, and complete certain other procedures. We and our executive officers and other employees who are PRC citizens or non-PRC citizens who reside in China for a continuous period of not less than one year and have been granted options are subject to these regulations. Failure by these individuals to complete their SAFE registrations may subject us and them to fines and other legal sanctions. See “Item 3. Key Information—D. Risk Factors—Risks Relating to Doing Business in China—Any failure to comply with PRC regulations regarding the registration requirements for employee share incentive plans may subject the PRC plan participants or us to fines and other legal or administrative sanctions.”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SAT has issued certain circulars concerning employee share options and restricted shares. Under these circulars, our and the VIE Group’s employees working in China who exercise share options will be subject to PRC individual income tax. Our PRC subsidiaries have obligations to file documents related to employee share options with relevant tax authorities and to withhold individual income taxes of those employees who exercise their share options. If our and the VIE Group’s employees fail to pay or we and the VIE Group fail to withhold their income taxes according to relevant laws and regulations, we and the VIE Group may face sanctions imposed by the tax authorities or other PRC regulatory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229" w:lineRule="exact"/>
        <w:rPr>
          <w:sz w:val="20"/>
          <w:szCs w:val="20"/>
          <w:color w:val="auto"/>
        </w:rPr>
      </w:pPr>
    </w:p>
    <w:p>
      <w:pPr>
        <w:jc w:val="both"/>
        <w:ind w:firstLine="508"/>
        <w:spacing w:after="0" w:line="254" w:lineRule="auto"/>
        <w:rPr>
          <w:sz w:val="20"/>
          <w:szCs w:val="20"/>
          <w:color w:val="auto"/>
        </w:rPr>
      </w:pPr>
      <w:r>
        <w:rPr>
          <w:rFonts w:ascii="Times New Roman" w:cs="Times New Roman" w:eastAsia="Times New Roman" w:hAnsi="Times New Roman"/>
          <w:sz w:val="18"/>
          <w:szCs w:val="18"/>
          <w:color w:val="auto"/>
        </w:rPr>
        <w:t xml:space="preserve">Under our current corporate structure, our Cayman Islands holding company may rely on dividend payments from our PRC subsidiaries, which are wholly foreign-owned enterprises incorporated in China, to fund any cash and financing requirements we may have. The principal regulations governing distribution of dividends of foreign-invested enterprises is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Company Law of the PRC</w:t>
      </w:r>
      <w:r>
        <w:rPr>
          <w:rFonts w:ascii="Times New Roman" w:cs="Times New Roman" w:eastAsia="Times New Roman" w:hAnsi="Times New Roman"/>
          <w:sz w:val="18"/>
          <w:szCs w:val="18"/>
          <w:color w:val="auto"/>
        </w:rPr>
        <w:t>, companies in China may pay dividends only out of their retained earnings, if any, determined in accordance with PRC accounting standards and regulations. In addition, companies in China are required to set aside 10% of its after-tax profit each year, if any, to fund certain statutory reserve funds until the cumulative amount of such statutory reserves reaches 50% of its registered capital. The aforementioned registered capital refers to the total amount of share capital of all issued shares or the total amount of capital contribution subscribed by all shareholders, as registered with the registration authority. Furthermore, companies in China may allocate a portion of its after-tax profits based on PRC accounting standards to a discretionary surplus fund at their discretion. The statutory reserve funds and the discretionary surplus funds are not distributable as cash dividends. After our PRC subsidiaries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VIE have generated retained earnings and met the requirements for appropriation to the statutory reserves and until such reserves reach 50% of its registered capital, respectively, our PRC subsidiaries and the consolidated VIE can distribute dividends upon approval of the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Employment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PRC Labor Law</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PRC Labor Contract Law</w:t>
      </w:r>
      <w:r>
        <w:rPr>
          <w:rFonts w:ascii="Times New Roman" w:cs="Times New Roman" w:eastAsia="Times New Roman" w:hAnsi="Times New Roman"/>
          <w:sz w:val="18"/>
          <w:szCs w:val="18"/>
          <w:color w:val="auto"/>
        </w:rPr>
        <w:t xml:space="preserve"> require that employers must execute written employment contracts with full-time employees. All employers must compensate their employees with wages equal to at least the local minimum wage standards. Violations of the </w:t>
      </w:r>
      <w:r>
        <w:rPr>
          <w:rFonts w:ascii="Times New Roman" w:cs="Times New Roman" w:eastAsia="Times New Roman" w:hAnsi="Times New Roman"/>
          <w:sz w:val="18"/>
          <w:szCs w:val="18"/>
          <w:i w:val="1"/>
          <w:iCs w:val="1"/>
          <w:color w:val="auto"/>
        </w:rPr>
        <w:t>PRC Labor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PRC Labor Contract Law </w:t>
      </w:r>
      <w:r>
        <w:rPr>
          <w:rFonts w:ascii="Times New Roman" w:cs="Times New Roman" w:eastAsia="Times New Roman" w:hAnsi="Times New Roman"/>
          <w:sz w:val="18"/>
          <w:szCs w:val="18"/>
          <w:color w:val="auto"/>
        </w:rPr>
        <w:t>may result in the imposition of fines and other administrative sanctions, and serious violations may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criminal liabilities.</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Enterprises in China are required by PRC laws and regulations to participate in certain employee benefit plans, including social insurance funds, namely a pension fund, a medical insurance fund, an unemployment insurance fund, a work-related injury insurance fund and a maternity insurance fund, and a housing provident fund, and contribute to the funds in amounts equal to certain percentages of salaries, including bonuses and allowances, of the employees as specified by the local government from time to time at locations where they operate their businesses or where they are located. According to the </w:t>
      </w:r>
      <w:r>
        <w:rPr>
          <w:rFonts w:ascii="Times New Roman" w:cs="Times New Roman" w:eastAsia="Times New Roman" w:hAnsi="Times New Roman"/>
          <w:sz w:val="18"/>
          <w:szCs w:val="18"/>
          <w:i w:val="1"/>
          <w:iCs w:val="1"/>
          <w:color w:val="auto"/>
        </w:rPr>
        <w:t>Social Insurance Law of the PRC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Interim Regulation on the Collection and Payment of Social Insurance Premiums</w:t>
      </w:r>
      <w:r>
        <w:rPr>
          <w:rFonts w:ascii="Times New Roman" w:cs="Times New Roman" w:eastAsia="Times New Roman" w:hAnsi="Times New Roman"/>
          <w:sz w:val="18"/>
          <w:szCs w:val="18"/>
          <w:color w:val="auto"/>
        </w:rPr>
        <w:t xml:space="preserve">, an employer that fails to make social insurance contributions may be ordered to rectify the non-compliance and pay the required contributions within a stipulated deadline and be subject to a late fee of up to 0.05% or 0.2% per day, as the case may be. If the employer still fails to rectify the failure to make social insurance contributions within the stipulated deadline, it may be subject to a fine ranging from one to three times the amount overdue. See “Item 3. Key Information—D. Risk Factors—Risks Relating to Our Business and Industry—Increases in labor costs in the PRC may adversely affect our business and results of operations.” In addition, the </w:t>
      </w:r>
      <w:r>
        <w:rPr>
          <w:rFonts w:ascii="Times New Roman" w:cs="Times New Roman" w:eastAsia="Times New Roman" w:hAnsi="Times New Roman"/>
          <w:sz w:val="18"/>
          <w:szCs w:val="18"/>
          <w:i w:val="1"/>
          <w:iCs w:val="1"/>
          <w:color w:val="auto"/>
        </w:rPr>
        <w:t>Individual Income Tax Law of the PRC</w:t>
      </w:r>
      <w:r>
        <w:rPr>
          <w:rFonts w:ascii="Times New Roman" w:cs="Times New Roman" w:eastAsia="Times New Roman" w:hAnsi="Times New Roman"/>
          <w:sz w:val="18"/>
          <w:szCs w:val="18"/>
          <w:color w:val="auto"/>
        </w:rPr>
        <w:t xml:space="preserve"> requires companies operating in China to withhold individual income tax on employees’ salaries based on the actual salary of each employee upon payment.</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March 2018, we and the VIE Group failed to make adequate contributions to employee benefit plans or adequate employee individual income tax withholdings, as required by applicable PRC laws and regulations. See “Item 3. Key Information—D. Risk Factors—Risks Relating to Doing Business in China—Failure to make adequate contributions to various employee benefit plans and withhold individual income tax on employees’ salaries as required by PRC regulations may subject us to penalties.” We and the VIE Group have recorded accruals for the estimated underpaid amounts in our and the VIE Group’s financial statements. Since March 2018, we and the VIE Group have made adequate payments for the social welfare and housing provident fund and withholding individual tax for our and the VIE Group’s employees in accordance with relevant laws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Enterprise Income Tax Law of the PRC</w:t>
      </w:r>
      <w:r>
        <w:rPr>
          <w:rFonts w:ascii="Times New Roman" w:cs="Times New Roman" w:eastAsia="Times New Roman" w:hAnsi="Times New Roman"/>
          <w:sz w:val="18"/>
          <w:szCs w:val="18"/>
          <w:color w:val="auto"/>
        </w:rPr>
        <w:t xml:space="preserve">, or the EIT Law and its implementation rules, which became effective on January 1, 2008 and amended on December 29, 2018,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w:t>
      </w:r>
      <w:r>
        <w:rPr>
          <w:rFonts w:ascii="Times New Roman" w:cs="Times New Roman" w:eastAsia="Times New Roman" w:hAnsi="Times New Roman"/>
          <w:sz w:val="18"/>
          <w:szCs w:val="18"/>
          <w:i w:val="1"/>
          <w:iCs w:val="1"/>
          <w:color w:val="auto"/>
        </w:rPr>
        <w:t>Arrangement between the Chinese Mainland and the Hong Kong Special Administrative Region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Avoidance of Double Taxation and Tax Evasion on Income</w:t>
      </w:r>
      <w:r>
        <w:rPr>
          <w:rFonts w:ascii="Times New Roman" w:cs="Times New Roman" w:eastAsia="Times New Roman" w:hAnsi="Times New Roman"/>
          <w:sz w:val="18"/>
          <w:szCs w:val="18"/>
          <w:color w:val="auto"/>
        </w:rPr>
        <w:t>, the withholding tax rate in respect to the payment of dividends by a PRC resident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 Hong Kong resident enterprise is reduced to 5% from a standard rate of 10% if the Hong Kong enterprise directly holds at least 25% of the PRC enterprise. Pursuant to the </w:t>
      </w:r>
      <w:r>
        <w:rPr>
          <w:rFonts w:ascii="Times New Roman" w:cs="Times New Roman" w:eastAsia="Times New Roman" w:hAnsi="Times New Roman"/>
          <w:sz w:val="18"/>
          <w:szCs w:val="18"/>
          <w:i w:val="1"/>
          <w:iCs w:val="1"/>
          <w:color w:val="auto"/>
        </w:rPr>
        <w:t>Circular on Issues Concerning the Application of the Dividend Clauses of Tax Agreements</w:t>
      </w:r>
      <w:r>
        <w:rPr>
          <w:rFonts w:ascii="Times New Roman" w:cs="Times New Roman" w:eastAsia="Times New Roman" w:hAnsi="Times New Roman"/>
          <w:sz w:val="18"/>
          <w:szCs w:val="18"/>
          <w:color w:val="auto"/>
        </w:rPr>
        <w:t xml:space="preserve"> issued by the SAT, or SAT Circular 81, a Hong Kong resident enterprise must meet the following conditions, among others, in order to enjoy the reduced withholding tax: (i) it must directly own the required percentage of equity interests and voting rights in the PRC resident enterprise; and (ii) it must have directly owned such percentage in the PRC resident enterprise throughout the 12 months prior to receiving the dividends. There are also other conditions for enjoying the reduced withholding tax rate according to other relevant tax rules and regulations. In October 2019, the SAT promulgated the </w:t>
      </w:r>
      <w:r>
        <w:rPr>
          <w:rFonts w:ascii="Times New Roman" w:cs="Times New Roman" w:eastAsia="Times New Roman" w:hAnsi="Times New Roman"/>
          <w:sz w:val="18"/>
          <w:szCs w:val="18"/>
          <w:i w:val="1"/>
          <w:iCs w:val="1"/>
          <w:color w:val="auto"/>
        </w:rPr>
        <w:t>Announcement of the State Taxation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Issuing the Measures for the Administration of Non-resident Taxpayers’ Enjoyment of Treaty Benefits</w:t>
      </w:r>
      <w:r>
        <w:rPr>
          <w:rFonts w:ascii="Times New Roman" w:cs="Times New Roman" w:eastAsia="Times New Roman" w:hAnsi="Times New Roman"/>
          <w:sz w:val="18"/>
          <w:szCs w:val="18"/>
          <w:color w:val="auto"/>
        </w:rPr>
        <w:t>, or SAT circular 35, which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1, 2020, replacing the </w:t>
      </w:r>
      <w:r>
        <w:rPr>
          <w:rFonts w:ascii="Times New Roman" w:cs="Times New Roman" w:eastAsia="Times New Roman" w:hAnsi="Times New Roman"/>
          <w:sz w:val="18"/>
          <w:szCs w:val="18"/>
          <w:i w:val="1"/>
          <w:iCs w:val="1"/>
          <w:color w:val="auto"/>
        </w:rPr>
        <w:t>Administrative Measures for Non-Resident Taxpayers to Enjoy Treatments under Tax Treaties</w:t>
      </w:r>
      <w:r>
        <w:rPr>
          <w:rFonts w:ascii="Times New Roman" w:cs="Times New Roman" w:eastAsia="Times New Roman" w:hAnsi="Times New Roman"/>
          <w:sz w:val="18"/>
          <w:szCs w:val="18"/>
          <w:color w:val="auto"/>
        </w:rPr>
        <w:t>. SAT Circular 35 provides that non-resident enterprises are not required to obtain pre-approval from the relevant tax authority in order to enjoy the reduced withholding tax rate. Instead, non-resident enterprises and their withholding agents may, by self-assessment and on confirmation that the prescribed criteria to enjoy the tax treaty benefits are met, file the Information Reporting Form for Non-resident Taxpayers Claiming Treaty Benefits and directly apply the reduced withholding tax rate when performing tax filings, and collect and retain relevant supporting documents, which will be subject to post-tax filing examinations by the relevant tax authorities. Accordingly, Geerong (HK) may be able to enjoy the 5% withholding tax rate for the dividends they receive from our and the VIE Group’s PRC subsidiaries, if it satisfies the conditions prescribed under SAT Circular 81 and other relevant tax regulations and rules. However, according to SAT Circular 81 and SAT Circular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35, if the relevant tax authorities consider the transactions or arrangements we and the VIE Group have are for the primary purpose of enjoying a favorable tax treatment, the relevant tax authorities may adjust the favorable withholding tax in the future. According to the </w:t>
      </w:r>
      <w:r>
        <w:rPr>
          <w:rFonts w:ascii="Times New Roman" w:cs="Times New Roman" w:eastAsia="Times New Roman" w:hAnsi="Times New Roman"/>
          <w:sz w:val="18"/>
          <w:szCs w:val="18"/>
          <w:i w:val="1"/>
          <w:iCs w:val="1"/>
          <w:color w:val="auto"/>
        </w:rPr>
        <w:t>Circular on Several Issues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 in Tax Treaties</w:t>
      </w:r>
      <w:r>
        <w:rPr>
          <w:rFonts w:ascii="Times New Roman" w:cs="Times New Roman" w:eastAsia="Times New Roman" w:hAnsi="Times New Roman"/>
          <w:sz w:val="18"/>
          <w:szCs w:val="18"/>
          <w:color w:val="auto"/>
        </w:rPr>
        <w:t>, which was issued on February 3, 2018 by the SAT, effective as of April 1, 2018, when determining the applicant’s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of the “beneficial owner”, several factors in connection with dividends, interests or royalties in the tax treaties, including without limitation, whether the applicant is obligated to pay more than 50% of his or her income in twelve months to residents of third country or region, whether the business operated by the applicant constitutes actual business activities, and whether the counterparty country or region to the tax treaties levy no tax, grant tax exemption on relevant incomes or levy tax at an extremely low rate, will be taken into account. The applicant’s status will be analyzed in light of actual circumstances of specific cases. This circular further provides that applicants who intend to prove his or her status of the “beneficial owner” shall submit the relevant documents to the relevant tax bureau according to SAT Circular 35.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EIT Law and its implementing rules are the principal regulations governing enterprise income tax in the PRC. The EIT Law imposes a uniform enterprise income tax rate of 25% on all resident enterprises in the PRC, including foreign-invested enterprises. Under the EIT Law, an enterprise established outside China with its “de facto management body” located within China is considered a “resident enterprise”, which means that it is treated in a manner similar to a PRC domestic enterprise for enterprise income tax purposes. The implementing rules of the EIT Law define “de facto management body” as a managing body that in practice exercises “substantial and overall management and control over the production and operations, personnel, accounting, and properties” of the enterprise.</w:t>
      </w:r>
    </w:p>
    <w:p>
      <w:pPr>
        <w:spacing w:after="0" w:line="1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SAT issued the </w:t>
      </w:r>
      <w:r>
        <w:rPr>
          <w:rFonts w:ascii="Times New Roman" w:cs="Times New Roman" w:eastAsia="Times New Roman" w:hAnsi="Times New Roman"/>
          <w:sz w:val="18"/>
          <w:szCs w:val="18"/>
          <w:i w:val="1"/>
          <w:iCs w:val="1"/>
          <w:color w:val="auto"/>
        </w:rPr>
        <w:t>Circular on Issues Concerning the Identification of Chinese-Controlled Offshore Incorporated Enterprises as 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in Accordance With the Actual Standards of Organizational Management</w:t>
      </w:r>
      <w:r>
        <w:rPr>
          <w:rFonts w:ascii="Times New Roman" w:cs="Times New Roman" w:eastAsia="Times New Roman" w:hAnsi="Times New Roman"/>
          <w:sz w:val="18"/>
          <w:szCs w:val="18"/>
          <w:color w:val="auto"/>
        </w:rPr>
        <w:t>, or SAT Circular 82 in 2009. According to SAT Circular 82,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Chinese-controlled offshore incorporated enterprise will be regarded as a PRC resident enterprise by virtue of having a “de facto management body” in China and will be subject to PRC enterprise income tax on its worldwide income only if all of the following criteria are met:(i) the senior executives and core management departments in charge of the day-to-day operations have their presence mainly in China; (ii) decisions relating to the enterprise’s financial and human resource matters are made or are subject to approval by organizations or personnel in China; (iii) the enterprise’s primary assets, accounting books and records, company seals, and board and shareholders meeting minutes are located or maintained in China; and (iv) 50% or more of voting board members or senior executives habitually reside in China.</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were to be considered a PRC resident enterprise, we would be subject to PRC enterprise income tax at the rate of 25% on our global income. In such case, our profitability and cash flow may be materially reduced as a result of our global income being taxed under the EIT Law. We believe that none of our entities outside of China is a PRC resident enterprise for PRC tax purposes. However, the tax resident status of an enterprise is subject to determination by the PRC tax authorities and it remains to be observed with respect to the interpretation of the term “de facto management body.”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event that we are considered to be a PRC resident enterprise, interest paid to our overseas shareholders or ADS holders who are non-PRC resident enterprises as well as gains realized by such shareholders or ADS holders from the transfer of our shares or ADSs may be regarded as PRC-sourced income and as a result be subject to PRC withholding tax at a rate of up to 10%, subject to any reduction or exemption set forth in relevant tax treaties, and similarly, dividends paid to our overseas shareholders or ADS holders who are non-PRC resident individuals, as well as gains realized by such shareholders or ADS holders from the transfer of our shares or ADSs, may be regarded as PRC-sourced income and as a result be subject to PRC withholding tax at a rate of 20%, subject to any reduction or exemption set forth in relevant tax treaties.</w:t>
      </w:r>
    </w:p>
    <w:p>
      <w:pPr>
        <w:spacing w:after="0" w:line="1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SAT issued </w:t>
      </w:r>
      <w:r>
        <w:rPr>
          <w:rFonts w:ascii="Times New Roman" w:cs="Times New Roman" w:eastAsia="Times New Roman" w:hAnsi="Times New Roman"/>
          <w:sz w:val="18"/>
          <w:szCs w:val="18"/>
          <w:i w:val="1"/>
          <w:iCs w:val="1"/>
          <w:color w:val="auto"/>
        </w:rPr>
        <w:t>the Bulletin on Issues of Enterprise Income Tax on Indirect Transfers of Assets by Non-PRC Resident Enterprises</w:t>
      </w:r>
      <w:r>
        <w:rPr>
          <w:rFonts w:ascii="Times New Roman" w:cs="Times New Roman" w:eastAsia="Times New Roman" w:hAnsi="Times New Roman"/>
          <w:sz w:val="18"/>
          <w:szCs w:val="18"/>
          <w:color w:val="auto"/>
        </w:rPr>
        <w:t>, or SAT Bulletin 7, on February 3, 2015, which replaced or supplemented certain previous rules under the circular commonly known as “SAT Circular 698.” Under SAT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China, immoveable properties in China, and equity investment in PRC resident enterprises. In respect of an indirect offshore transfer of assets of a PRC establishment, the relevant gain is to be regarded as effectively connected with the PRC establishment and therefore included in its enterprise income tax filing, and would consequently be subject to PRC enterprise income tax at a rate of 25%. Where the underlying transfer relates to the immoveable properties in China or to equity investment in a PRC resident enterprise, which is not effectively connected to a PRC establishment of a non-resident enterprise, a PRC enterprise income tax at 10% would apply, subject to available preferential tax treatment under applicable tax treaties or similar arrangements, and the party who is obligated to make the transfer payments has the withholding obligation. If SAT Bulletin 7 was determined by the tax authorities to be applicable to some of our transactions involving PRC taxable assets, our offshore subsidiaries conducting the relevant transactions might be required to spend valuable resources to comply with SAT Bulletin 7 or to establish that the relevant transactions should not be taxed under SAT Bulletin 7. See “Item 3. Key Information—D. Risk Factors— Risks Relating to</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Doing Business in China—We face uncertainty with respect to indirect transfers of equity interests in PRC resident enterprises by their non-PRC holding companies.”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applicable PRC laws, payers of PRC-sourced income to non-PRC residents are generally obligated to withhold PRC income taxes from the payment. In the event of a failure to withhold, the non-PRC residents are required to pay such taxes on their own. Failure to comply with the tax payment obligations by the non-PRC residents will result in penalties, including full payment of taxes owed, fines and default interest on those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Value-Added Tax</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2011, the MOF and the SAT promulgated the </w:t>
      </w:r>
      <w:r>
        <w:rPr>
          <w:rFonts w:ascii="Times New Roman" w:cs="Times New Roman" w:eastAsia="Times New Roman" w:hAnsi="Times New Roman"/>
          <w:sz w:val="18"/>
          <w:szCs w:val="18"/>
          <w:i w:val="1"/>
          <w:iCs w:val="1"/>
          <w:color w:val="auto"/>
        </w:rPr>
        <w:t>Pilot Plan for Imposition of Value-Added Tax to Replace Business Tax</w:t>
      </w:r>
      <w:r>
        <w:rPr>
          <w:rFonts w:ascii="Times New Roman" w:cs="Times New Roman" w:eastAsia="Times New Roman" w:hAnsi="Times New Roman"/>
          <w:sz w:val="18"/>
          <w:szCs w:val="18"/>
          <w:color w:val="auto"/>
        </w:rPr>
        <w:t xml:space="preserve">, pursuant to which, a VAT was imposed to replace the business tax in the transport and shipping industry and some of the modern service industries in certain pilot regions from January 1, 2012. The pilot plan for replacing business tax with VAT was expanded to all regions and industries as of May 1, 2016 according to the </w:t>
      </w:r>
      <w:r>
        <w:rPr>
          <w:rFonts w:ascii="Times New Roman" w:cs="Times New Roman" w:eastAsia="Times New Roman" w:hAnsi="Times New Roman"/>
          <w:sz w:val="18"/>
          <w:szCs w:val="18"/>
          <w:i w:val="1"/>
          <w:iCs w:val="1"/>
          <w:color w:val="auto"/>
        </w:rPr>
        <w:t>Circular on Fully Promoting the Pilot Plan for Replacing Business Tax with Value-Added Tax</w:t>
      </w:r>
      <w:r>
        <w:rPr>
          <w:rFonts w:ascii="Times New Roman" w:cs="Times New Roman" w:eastAsia="Times New Roman" w:hAnsi="Times New Roman"/>
          <w:sz w:val="18"/>
          <w:szCs w:val="18"/>
          <w:color w:val="auto"/>
        </w:rPr>
        <w:t xml:space="preserve"> promulgated by the MOF and the SAT in March 2016. Entities or individuals conducting business in the service industry in the PRC are required to pay a valued-added tax, or VAT, at a rate of 6% or 3% with respect to revenues derived from the provision of online information services. A taxpayer is allowed to offset the qualified input VAT paid on taxable purchases against the output VAT chargeable on the revenue from services provided.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0" w:name="page101"/>
    <w:bookmarkEnd w:id="100"/>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Structure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diagram illustrates the corporate structure of us and the consolidated VIE, including the names, places of incorporation and the proportion of ownership interests in our and the consolidated VIE’s significant subsidiaries and consolidated affiliated entities and their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123190</wp:posOffset>
            </wp:positionV>
            <wp:extent cx="6172200" cy="5829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0"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Southeast Asia Holdings Limited was established in February 2018 to develop and operate our overseas business.</w:t>
      </w:r>
    </w:p>
    <w:p>
      <w:pPr>
        <w:spacing w:after="0" w:line="27"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Technology is owned as to 58% by Mr. Dinggui Yan, our founder, director and chief executive officer, 27% by Shanghai Jinmushuihuotu Investment Center (Limited Partnership), or Jinmushuihuotu Investment, 12% by Mr. Guanglin Zhang, and 3% by Mr. Yuanle Wu, who both are employees of our company. Jinmushuihuotu Investment is established in connection with the share incentive plan of Jiayin Technology. See “Item 6. Directors, Senior Management and Employees—B. Compensation—Share Incentive Plans—2019 Share Incentive Plan.” The general partner of Jinmushuihuotu Investment is Shanghai Jinmushuihuotu Marketing and Planning Co., Ltd., or Jinmushuihuotu Marketing, which is controlled by Mr. Dinggui Yan.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1" w:name="page102"/>
    <w:bookmarkEnd w:id="101"/>
    <w:p>
      <w:pPr>
        <w:ind w:left="520" w:hanging="512"/>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Technology entered into Contractual Arrangements with Shanghai Kunjia. See “Item 4. Information on the Company—C. Organizational Structure—Contractual Arrangements among Shanghai Kunjia, Jiayin Technology and the shareholders of Jiayin Technology.”</w:t>
      </w: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Jiangxi Yunkaijianming became our wholly-owned subsidiary after the business combination in September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Jiajie became our wholly-owned subsidiary after the business combination in July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Chuangzhen Software was established in April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Shuke was established in January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Hainan Yinke was established in August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Guangxi Chuangzhen was established in January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Jirongzhicheng was established in November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Jiazhen Software Co., Ltd. (“Jiazhen Software”) was established in January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Consolidated VIE and China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subject to risks and uncertainties relating to our corporate structure, including, but not limited to, the following:</w:t>
      </w:r>
    </w:p>
    <w:p>
      <w:pPr>
        <w:spacing w:after="0" w:line="225" w:lineRule="exact"/>
        <w:rPr>
          <w:sz w:val="20"/>
          <w:szCs w:val="20"/>
          <w:color w:val="auto"/>
        </w:rPr>
      </w:pPr>
    </w:p>
    <w:p>
      <w:pPr>
        <w:jc w:val="both"/>
        <w:ind w:left="1020" w:hanging="503"/>
        <w:spacing w:after="0" w:line="254"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Group Inc. is a Cayman Islands holding company primarily operating in China through its subsidiaries and contractual arrangements with Jiayin Technology. Investors in the ADSs thus are not purchasing, and may never hold, equity interests in the consolidated VIE. The interpretation and application of current and future PRC laws, regulations, and rules relating to such agreements that establish the VIE structure for the majority of our and the consolidated VIE’s operations in China, including potential future actions by the PRC government remains to be observed, which could affect the enforceability of our contractual arrangements with Jiayin Technology and, consequently, significantly affect the financial condition and results of operations of Jiayin Group Inc. If the PRC government finds such agreements non-compliant with relevant PRC laws, regulations, and rules, or if these laws, regulations, and rules or the interpretation thereof change in the future, we could be subject to severe penalties or be forced to relinquish our beneficial interest in Jiayin Technology or forfeit our rights under the contractual arrangements;</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authority to exert influence on the China operations of an offshore holding company, such as us. Changes in China’s economic, political or social conditions, or government policies may cause our and the consolidated VIE’s underlying operations in China to become prohibitive, which could materially and adversely affect our and the consolidated VIE’s business, financial condition, and results of operations;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consolidated VIE are subject to extensive and evolving legal development, non-compliance with which, or changes in which, may materially and adversely affect our and the consolidated VIE’s business and prospects, and may result in a material change in our and the consolidated VIE’s operations and/or the value of our ADSs or could significantly limit or completely hinder our and the consolidated VIE’s ability to offer or continue to offer securities to investors and cause the value of our securities to significantly decline or be worthless;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unclear whether we and the consolidated VIE will be subject to the oversight of the CAC and how such oversight may impact us. Our and the consolidated VIE’s business could be interrupted or we and the consolidated VIE could be subject to liabilities which may materially and adversely affect the results of our and the consolidated VIE’s operation and the value of your investment;</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oversight over our and the consolidated VIE’s business operations could result in a material adverse change in our and the consolidated VIE’s operations and the value of our ADSs;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filing or other requirements of the CSRC, the CAC or other PRC government authorities may be required under PRC law in connection with our future offering;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PRC laws and regulations could limit the legal protections available to you and us, significantly limit or completely hinder our ability to offer or continue to offer our ADSs, cause significant disruption to our and the consolidated VIE’s business operations, and severely damage our and the consolidated VIE’s reputation, which would materially and adversely affect our and the consolidated VIE’s financial condition and results of operations and cause our ADSs to significantly decline in value or become worthless;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Jiayin Technology and shareholders of Jiayin Technology for certain business operations, which may not be as effective as direct ownership in providing operational control, and these contractual arrangements have not been tested in a court of law;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Jiayin Technology or shareholders of Jiayin Technology to perform their obligations under our Contractual Arrangements with them would have a material adverse effect on our business.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2" w:name="page103"/>
    <w:bookmarkEnd w:id="102"/>
    <w:p>
      <w:pPr>
        <w:spacing w:after="0" w:line="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further details on the regulatory, liquidity, and enforcement risks relating to our corporate structure and the fact that we conduct substantially all of our operations in China, see “Item 3. Key Information—D. Risk Factors—Risks Relating to Our Corporate Structure” and “Item 3. Key Information— D. Risk Factors—Risks Relating to Doing Business in China.” You should also carefully consider other risks described under “Item 3. Key Information— D. Risk Factors” and other information contained in this annual report on Form 20-F, before you decide whether to purchase the ADSs.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Contractual Arrangements among Shanghai Kunjia, Jiayin Technology and the Shareholders of Jiayin Technology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PRC legal restrictions on foreign ownership and investment in, among other areas, value-added telecommunications services, which include the operations of Internet content providers, or ICPs, we, similar to all other entities with foreign incorporated holding company structures operating in our industry in China, currently conduct these activities mainly through Jiayin Technology and its subsidiaries over which we exercise effective control through Contractual Arrangements among Shanghai Kunjia, Jiayin Technology and its shareholders.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Arrangements allow us to:</w:t>
      </w:r>
    </w:p>
    <w:p>
      <w:pPr>
        <w:spacing w:after="0" w:line="22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Jiayin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Jiayin Technology;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call option to purchase all or part of the equity interests in and/or assets of Jiayin Technology when and to the extent permitted by laws.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are the primary beneficiary of Jiayin Technology and its subsidiaries for accounting purposes, and, therefore, have consolidated the financial results of Jiayin Technology and its subsidiaries in our consolidated financial statements in accordance with U.S. GAAP.</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opinion of King &amp; Wood, our PRC legal counsel:</w:t>
      </w:r>
    </w:p>
    <w:p>
      <w:pPr>
        <w:spacing w:after="0" w:line="225" w:lineRule="exact"/>
        <w:rPr>
          <w:sz w:val="20"/>
          <w:szCs w:val="20"/>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 of Shanghai Kunjia, Jiayin Technology and its subsidiaries is not in violation of existing PRC laws, regulations and rules currently in effect;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VIE contractual agreements among Shanghai Kunjia, Jiayin Technology and the shareholders of Jiayin Technology is valid, binding and enforceable upon each party to such agreements in accordance with their terms and applicable PRC laws and regulations currently in effect.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and for the year ended December 31, 2025 and till the date of this annual report, the Company is not aware of any notice from the PRC government that the PRC government holds the opinion that the ownership structure of Shanghai Kunjia, Jiayin Technology and its subsidiaries is illegal, or any of the VIE contractual agreements among Shanghai Kunjia, Jiayin Technology and the shareholders of Jiayin Technology governed by PRC laws are illegal. However, King &amp; Wood has also advised us that there are considerable uncertainties regarding the interpretation and application of PRC laws, rules and regulations and there can be no assurance that the PRC government will take a view that is consistent with the opinion of our PRC legal counsel, King &amp; Wood, in the future.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Shanghai Kunjia, Jiayin Technology and the shareholders of the Jiayin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Jiayin Technology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of Attorney. </w:t>
      </w:r>
      <w:r>
        <w:rPr>
          <w:rFonts w:ascii="Times New Roman" w:cs="Times New Roman" w:eastAsia="Times New Roman" w:hAnsi="Times New Roman"/>
          <w:sz w:val="18"/>
          <w:szCs w:val="18"/>
          <w:color w:val="auto"/>
        </w:rPr>
        <w:t>Pursuant to the power of attorney issued by Jiayin Technology and its shareholders, each shareholder of Jiayin Technology,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irrevocably appointed the board of directors of Shanghai Kunjia to act as such shareholder’s exclusive attorney-in-fact to exercise all shareholder rights, including the right to attend and vote on shareholder’s meetings and appoint legal representatives, directors, supervisors and executive officers. In addition, the board of directors of Shanghai Kunjia is also entitled to appropriate, use or otherwise dispose of all dividends and other distributions. Furthermore, all activities of the board of directors of Shanghai Kunjia in connection with the equity interest of Jiayin Technology shall be considered activities of the shareholders of Jiayin Technology, including in the execution of the exclusive call option agreement. The board of directors of Shanghai Kunjia may delegate the power of attorney prescribed under this power of attorney to others without prior approval or notification. Jiayin Technology disclaims all rights and powers entrusted to the directors of Shanghai Kunjia. The power of attorney will remain in force for so long as the shareholder remains a shareholder of Jiayin Technology.</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Pledge Agreement. </w:t>
      </w:r>
      <w:r>
        <w:rPr>
          <w:rFonts w:ascii="Times New Roman" w:cs="Times New Roman" w:eastAsia="Times New Roman" w:hAnsi="Times New Roman"/>
          <w:sz w:val="18"/>
          <w:szCs w:val="18"/>
          <w:color w:val="auto"/>
        </w:rPr>
        <w:t>Pursuant to the equity interest pledge agreements among Shanghai Kunjia, Jiayin Technology and each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of Jiayin Technology, the shareholders of Jiayin Technology have pledged all of their equity interest in Jiayin Technology as a continuing first priority security interest, as applicable, to respectively guarantee Jiayin Technology’ performance of its obligations under the relevant Contractual Arrangements, which include the exclusive consultation and service agreement, exclusive call option agreement and power of attorney agreement provided that the guaranteed obligation shall not exceed the expected market capitalization of Jiayin Technology, which is US$20 billion, multiplied by their respective shareholding percentage. If Jiayin Technology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4" w:name="page105"/>
    <w:bookmarkEnd w:id="104"/>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breaches its contractual obligations under these agreements, Shanghai Kunjia, as pledgee, will be entitled to certain rights regarding the pledged equity interests. In the event of such breaches, Shanghai Kunjia’s rights include forcing the auction or sale of all or part of the pledged equity interests of Jiayin Technology and receiving proceeds from such auction or sale in accordance with PRC law to the extent the rights of Shanghai Kunjia under the Contractual Arrangements are satisfied. In the event of significant decrease in value of the equity interest of Jiayin Technology, in addition to the foregoing remedies, Shanghai Kunjia is also entitled to entrust notary with the proceeds from such auction or sale, or requiring the shareholders, as pledgor, to provide other forms of security acceptable to Shanghai Kunjia. It is also agreed that any subscription of additional registered capital of Jiayin Technology or any equity interests transferred among those shareholders will automatically be subject to this agreement and the shareholders will be obligated to register pledge of such equity interest in ten business days. During the term of the applicable equity interest pledges, such shareholder will not dispose of the pledged equity interests or create or allow any encumbrance on the pledged equity interests. Each equity interest pledge will remain effective until the full performance of the contractual agreements, including the settlement of payment by Jiayin Technology and its shareholders and indemnification of any losses caused by Jiayin Technology, if applicable, and termination of such contractual agreements. We have registered pledges of equity interest in Jiayin Technology with the relevant office of the administration for industry and commerce in accordance with the </w:t>
      </w:r>
      <w:r>
        <w:rPr>
          <w:rFonts w:ascii="Times New Roman" w:cs="Times New Roman" w:eastAsia="Times New Roman" w:hAnsi="Times New Roman"/>
          <w:sz w:val="18"/>
          <w:szCs w:val="18"/>
          <w:i w:val="1"/>
          <w:iCs w:val="1"/>
          <w:color w:val="auto"/>
        </w:rPr>
        <w:t>PRC Property Rights L</w:t>
      </w:r>
      <w:r>
        <w:rPr>
          <w:rFonts w:ascii="Times New Roman" w:cs="Times New Roman" w:eastAsia="Times New Roman" w:hAnsi="Times New Roman"/>
          <w:sz w:val="18"/>
          <w:szCs w:val="18"/>
          <w:color w:val="auto"/>
        </w:rPr>
        <w:t>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Jiayin Technology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Consultation and Service Agreement. </w:t>
      </w:r>
      <w:r>
        <w:rPr>
          <w:rFonts w:ascii="Times New Roman" w:cs="Times New Roman" w:eastAsia="Times New Roman" w:hAnsi="Times New Roman"/>
          <w:sz w:val="18"/>
          <w:szCs w:val="18"/>
          <w:color w:val="auto"/>
        </w:rPr>
        <w:t>Pursuant to the Exclusive Consultation and Service Agreement between Shanghai Kunjia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Jiayin Technology, Shanghai Kunjia has the exclusive right to provide Jiayin Technology with consulting and other services. Without Shanghai Kunjia’s prior written consent, Jiayin Technology may not accept any services subject to this agreement from any third party. In exchange, Shanghai Kunjia is entitled to receive a service fee on a quarterly basis and at an amount equivalent to all of its net income. Shanghai Kunjia has the right to determine the service fee to be charged to Jiayin Technology under this agreement by considering, among other things, the complexity of the services, the actual time that may be spent and cost that may be incurred for providing such services, as well as the value and comparable price on the market of the service provided. Shanghai Kunjia will exclusively enjoy all the rights, property rights and intellectual property rights created as a result of the performance of this agreement. Without prior written consent of Shanghai Kunjia, Jiayin Technology shall not enter into any transactions which may materially affect Jiayin Technology’s assets, liabilities, business operations, equity interests and other legal interests. Unless Shanghai Kunjia terminates this agreement in advance or otherwise required by law, this agreement will remain effective for ten years and automatically extend for another ten years upon any expiration date. Jiayin Technology may not terminate this agreement unilaterally.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that provides us with the option to purchase the equity interests in Jiayin Technology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Call Option Agreement. </w:t>
      </w:r>
      <w:r>
        <w:rPr>
          <w:rFonts w:ascii="Times New Roman" w:cs="Times New Roman" w:eastAsia="Times New Roman" w:hAnsi="Times New Roman"/>
          <w:sz w:val="18"/>
          <w:szCs w:val="18"/>
          <w:color w:val="auto"/>
        </w:rPr>
        <w:t>Pursuant to the exclusive call option agreements among Shanghai Kunjia, Jiayin Technology and shareholders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Jiayin Technology, Jiayin Technology and each of their shareholders have irrevocably granted Shanghai Kunjia an exclusive option to purchase, or have its designated person or persons to purchase, at its discretion at any time, to the extent permitted under PRC law, all or part of such shareholder’s equity interests in the applicable, or all or part of the assets, of Jiayin Technology for RMB1, or the minimum purchase price as permitted by PRC laws. Shareholders of Jiayin Technology promise to make all efforts to enable Shanghai Kunjia to exercise its option, including but not limited to resignation and granting options and right to earnings of Shanghai Kunjia. Without Shanghai Kunjia’s prior written consent, Jiayin Technology and its shareholders have agreed that they shall not amend its articles of association, increase or decrease the registered capital, sell or otherwise dispose of its assets or beneficial interest, create or allow any encumbrance on its assets or other beneficial interests, provide any loans or guarantees and etc. Jiayin Technology and its shareholders undertake to appoint persons designated by Shanghai Kunjia as directors of Jiayin Technology. Unless Shanghai Kunjia terminates this agreement in advance or otherwise required by law, this agreement will remain effective for ten years and automatically extend for another ten years upon any expiration date. Jiayin Technology may not terminate this agreement unilaterally.</w:t>
      </w:r>
    </w:p>
    <w:p>
      <w:pPr>
        <w:spacing w:after="0" w:line="186"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Plants and Equipment</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and the VIE Group’s principal executive offices are located on leased premises comprising 11,160 square meters in Shanghai, China. We and the VIE Group lease our premises mainly from unrelated third parties under operating lease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2024, we entered into a definitive agreement to purchase certain commercial property located in Shanghai, China (the “Commercial Property”) of approximately 43,500 square meters for total cash consideration of approximately RMB1.35 billion. In March 2025, we paid all consideration for and obtained title to, the Commercial Property. The Commercial Property will primarily be used as our new headquarters to meet the demand arising from the continuing growth of our businesses.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and the VIE Group’s servers are primarily hosted at third-party Internet data centers. We and the VIE Group believe that we will be able to obtain adequate facilities, principally through leasing, to accommodate our future expansion plans.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7" w:lineRule="exact"/>
        <w:rPr>
          <w:sz w:val="20"/>
          <w:szCs w:val="20"/>
          <w:color w:val="auto"/>
        </w:rPr>
      </w:pPr>
    </w:p>
    <w:p>
      <w:pPr>
        <w:jc w:val="both"/>
        <w:ind w:firstLine="50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and the VIE Group’s financial condition and results of operations should be read in conjunction with our and the VIE Group’s consolidated financial statements and the related notes thereto included elsewhere in this annual report on Form 20-F. This discussion may contain forward-looking statements based upon current expectations that involve risks and uncertainties. Our and the VIE Group’s actual results may differ materially from those anticipated in these forward-looking statements as a result of various factors, including those set forth under “Item</w:t>
      </w:r>
    </w:p>
    <w:p>
      <w:pPr>
        <w:spacing w:after="0" w:line="1" w:lineRule="exact"/>
        <w:rPr>
          <w:sz w:val="20"/>
          <w:szCs w:val="20"/>
          <w:color w:val="auto"/>
        </w:rPr>
      </w:pPr>
    </w:p>
    <w:p>
      <w:pPr>
        <w:jc w:val="both"/>
        <w:ind w:firstLine="8"/>
        <w:spacing w:after="0" w:line="255" w:lineRule="auto"/>
        <w:tabs>
          <w:tab w:leader="none" w:pos="188"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Key Information—D. Risk Factors” or in other parts of this annual report on Form 20-F. For discussion of year-over-year comparisons between 2024 and 2023 that are not included in this annual report on Form 20-F, refer to "Item 5. Operating and Financial Review and Prospects" found in our Form 20-F for the year ended December 31, 2024, that was filed with the Securities and Exchange Commission on April 28, 2025.</w:t>
      </w:r>
    </w:p>
    <w:p>
      <w:pPr>
        <w:spacing w:after="0" w:line="186"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the VIE Group are a leading fintech platform in China committed to facilitating effective, transparent, secure and fast connections between underserved individual borrowers and financial institutions. We and the VIE Group operate a highly secure and open platform with a comprehensive risk management system and a proprietary and effective risk assessment model which employs advanced big data analytics and sophisticated algorithms to accurately assess the risk profiles of potential borrowers. Our and the VIE Group’s online platform embraces significant opportunities presented by a financial system that leaves many creditworthy individuals underserved. We and the VIE Group provide borrowers with fast and convenient access to credit at affordable and competitive rates. We and the VIE Group do not use our and the VIE Group’s own capital to invest in loans facilitated through our and the VIE Group’s platform in Chinese Mainland.</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offer loan products with fixed terms and repayment schedules generally ranging from RMB500 to RMB200,000 via our and the VIE Group’s apps and our and the VIE Group’s website. We and the VIE Group strategically focused on facilitating loans primarily with a term of no more than 12 months, as we and the VIE Group believe such loan products facilitated by us and the VIE Group are best positioned to generate attractive returns, and at the same time, capture the financing needs of qualified borrowers.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and the VIE Group introduce borrowers to our and the VIE Group’s institutional funding partners, including commercial banks, trusts, consumer finance companies and micro-credit companies, and provide preliminary risk assessment services as well as other services to them. For institutional funding partners with a license to extend loans, such as banks, online micro-credit companies, they typically extend loans with their own funds directly to the borrowers introduced by us. In 2025, we and the VIE Group facilitated an aggregate loan volume of RMB129.0 billion (US$18.4 billion), funded by 54 institutional funding partners. We and the VIE Group also provide guarantee services through our own licensed financing guarantee subsidiary or through cooperation with third-party licensed financing guarantee companies. Under the guarantee services through our and VIE Group’s licensed financing guarantee subsidiaries, such subsidiaries are obligated to place deposits directly to institutional funding partners with an agreed percentage of outstanding loan balance subject to guarantee. We and the VIE Group record deposits to funding banks under restricted cash, and deposits to institutional funding partners other than funding banks under prepaid expenses and other current assets, net on the consolidated balance sheets, respectively. Under the cooperation with third-party licensed financing guarantee companies, such companies initially reimburses the loan principal and interest to the institutional funding partners upon borrower’s default. Although we and the VIE Group do not have direct contractual obligation to the institutional funding partners for defaulted principal and interest, we and the VIE Group provide back-to-back guarantee to the third-party licensed financing guarantee companies. As of December 31, 2024 and 2025, the maximum potential future payments, including all outstanding principal and interest for which our and the VIE Group provide primary guarantee, were RMB2.8 billion and RMB9.4 billion (US$1.3 billion), respectively.</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and the VIE Group’s net revenue increased by 7.3% from RMB5,801.0 million in 2024 to RMB6,222.2 million (US$889.8 million)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income was RMB1,535.7 million (US$219.6 million), compared with RMB1,056.5 million in 2024.</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General Factors Affecting Our and the VIE Group’s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demand for online consumer finance service is dependent upon overall economic conditions in China. General economic factors, including the interest rate environment, regional salary and disposable income levels and unemployment rates, may affect borrowers’ willingness to seek loans and funding partners’ ability and desire to invest in loans. For example, significant increases in interest rates could cause potential borrowers to defer obtaining loans as they wait for interest rates to stabilize or decrease. Additionally, a slowdown in the economy, such as a rise in the unemployment rate and a decrease in real income, may affect individuals’ level of disposable income. This may negatively affect borrowers’ repayment capability, which in turn may decrease their willingness to seek loans and potentially cause an increase in default rates. If actual or expected default rates increase generally in China or in the online consumer finance market, investors may delay or reduce their investments in loan products in general.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in China</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regulatory environment for the online consumer finance industry in China is evolving, with new legislation and trial programs being instituted in the recent years, creating both challenges and opportunities that could affect our and the VIE Group’s financial performance. PRC government officials from a number of agencies and departments have expressed support for the development of the online consumer finance industry in China, and have also expressed the need for strengthening the regulation and supervision of the industry.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Unfavorable changes in any of these general industry conditions could negatively affect demand for our and the VIE Group’s services. As the regulatory regime is evolving, and the interpretation and enforcement of related laws and regulations remains to be observed, it results in difficulties in determining whether our and the VIE Group’s existing practices may be interpreted to violate any applicable laws and regulations, and any such violation could materially and adversely affect our and the VIE Group’s business, financial condition and results of operation.</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Furthermore, due to the lack of clarity in certain key definitions under these regulations, there remain uncertainties including the possibility that regulatory authorities may disagree with our and the VIE Group’s interpretation. For example, it is still uncertain whether our and the VIE Group’s cooperation model with institutional funding partners will be influenced by the CBIRC Circular 37. As our and the VIE Group’s future revenue, profit and working capital rely on the amount of loans facilitated on our and the VIE Group’s platform and the corresponding service fees we and the VIE Group are entitled to collect from such loans, if we and the VIE Group were required by regulatory action to cease or reduce offering loan facilitation services to individual borrowers or funding loans with institutional funding partners, we and the VIE Group might need to take various measures in order to maintain the current scale or growth of our and the VIE Group’s business while adhering to our and the VIE Group’s interpretations of these regulations. These measures might include providing technology services to third-party companies, expanding our and the VIE Group’s overseas businesses, diversifying our and the VIE Group’s funding channels and strengthening our and the VIE Group’s cooperation with financial institutions, which may not be available on reasonable terms in a timely manner, or at all, and all of these measures may not be sufficient to maintain our and the VIE Group’s business growth, and may not generate sufficient revenue or cash inflows to offset decreases in the outstanding principal of our and the VIE Group’s platform, or may not otherwise result in the intended benefits.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will continue to make efforts to ensure that we and the VIE Group are compliant with the existing laws, regulations and governmental policies relating to our and the VIE Group’s industry and to comply with new laws and regulations or changes under existing laws and regulations that may arise in the future. While new laws and regulations or changes to existing laws and regulations could make loans more difficult to be accepted by institutional funding partners or borrowers on terms favorable to us, or at all, these events could also provide new product and market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Acquire Borrowers Cost Effectively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and the VIE Group’s ability to increase the loan volume facilitated through our and the VIE Group’s platform largely depends on our and the VIE Group’s ability to attract borrowers through sales and marketing efforts. Our and the VIE Group’s sales and marketing efforts include those related to borrower acquisition and retention, and general marketing. We and the VIE Group intend to continue to dedicate significant resources to our and the VIE Group’s sales and marketing efforts and constantly seek to improve the effectiveness of these efforts.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Risk Control Framework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and the VIE Group’s ability to effectively evaluate a borrower’s risk profile and likelihood of default affects our and the VIE Group’s relationships with our and the VIE Group’s funding partners. If the effectiveness of our and the VIE Group’s risk control framework decreases and borrower default rates increase, our and the VIE Group’s funding partners may reduce or stop their collaboration with us, which would adversely affect our and the VIE Group’s funding source and in turn reduce the amount of loans of we and the VIE Group can facilitate, both of which could have significant impact on our and the VIE Group’s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and Retain Institutional Funding Partners and to Compete Effectively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and the VIE Group’s business and results of operations depend on our and the VIE Group’s ability to attract and retain institutional funding partners and to compete effectively in the markets in which we and the VIE Group operate. Reinforcing long-standing relationships with our institutional funding partners ensures that we have sufficient and sustainable funding to meet borrower demands and thus is key to our success. Furthermore, retaining the existing and expanding the base of institutional funding partners is critical to secure a stable stream of funds and to increase the volume of loans facilitated through our and the VIE Group’s platform, driving the growth of our and the VIE Group’s future operations.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online consumer finance industry in China is intensely competitive, and we and the VIE Group expect that competition to persist and intensify in the future. In addition to competing with other online consumer finance platforms, we and the VIE Group also compete with other types of financial products and companies that attract borrowers and/or funding partners. With respect to borrowers, we and the VIE Group primarily compete with traditional financial institutions, such as online consumer finance business units in commercial banks, credit card issuers and other online consumer finance companies. If we and the VIE Group are unable to compete effectively, the demand for our and the VIE Group’s products and services could stagnate or substantially decline, we and the VIE Group could experience reduced revenues or our and the VIE Group’s platform could fail to maintain or achieve more widespread market acceptance, any of which could harm our and the VIE Group’s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Performance Data</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and the VIE Group’s operating results and financial condition are directly affected by the performance of the loans we and the VIE Group facilitate. We and the VIE Group closely monitor key loan performance data, including the data set out below, to track the lifetime performance of our and the VIE Group’s loans and adjust our and the VIE Group’s risk management strategies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M3+ Delinquency Rate by Vintage</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refer to loans facilitated during a specified time period as a vintage. We and the VIE Group define “M3+ Delinquency Rate by Vintage” as the total amount of principal for all loans in a vintage for which any repayment was more than 90 days past due as of a particular date, less the total amount of past due principal recovered for such loans, and divided by the total amount of principal for all loans in such vintage. We and the VIE Group calculate M3+ Delinquency Rate by Vintage for quarter vintage as the weighted average of the M3+ Delinquency Rate by Vintage for each month in such quarter by loan facilitation volume.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8" w:name="page109"/>
    <w:bookmarkEnd w:id="108"/>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chart and table display the historical cumulative M3+ Delinquency Rate by Vintage for loan products facilitated through our and the VIE Group’s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114300</wp:posOffset>
            </wp:positionV>
            <wp:extent cx="5452110" cy="23571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5211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90 Day+ Delinquency Ratio</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define the 90 day+ delinquency ratio as the outstanding principal balance of loans that were 91 to 180 calendar days past due as a percentage of the total outstanding principal balance of loans facilitated through our and the VIE Group’s platform as of a specific date. Loans facilitated outside Chinese Mainland are not included in the calculation. The following table provides the 90 day+ delinquency ratio for all outstanding loans on our and the VIE Group’s platform as of the respective dates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5"/>
                <w:szCs w:val="15"/>
                <w:color w:val="auto"/>
              </w:rPr>
            </w:pPr>
          </w:p>
        </w:tc>
        <w:tc>
          <w:tcPr>
            <w:tcW w:w="30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90 Day+ Delinquency Rate</w:t>
            </w:r>
          </w:p>
        </w:tc>
      </w:tr>
      <w:tr>
        <w:trPr>
          <w:trHeight w:val="142"/>
        </w:trPr>
        <w:tc>
          <w:tcPr>
            <w:tcW w:w="7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tcBorders>
              <w:top w:val="single" w:sz="8" w:color="auto"/>
            </w:tcBorders>
          </w:tcPr>
          <w:p>
            <w:pPr>
              <w:jc w:val="right"/>
              <w:ind w:right="1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20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2020</w:t>
            </w:r>
          </w:p>
        </w:tc>
        <w:tc>
          <w:tcPr>
            <w:tcW w:w="3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2021</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2022</w:t>
            </w:r>
          </w:p>
        </w:tc>
        <w:tc>
          <w:tcPr>
            <w:tcW w:w="3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7"/>
                <w:szCs w:val="17"/>
                <w:color w:val="auto"/>
              </w:rPr>
            </w:pPr>
          </w:p>
        </w:tc>
      </w:tr>
      <w:tr>
        <w:trPr>
          <w:trHeight w:val="203"/>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7"/>
                <w:szCs w:val="17"/>
                <w:color w:val="auto"/>
              </w:rPr>
            </w:pPr>
          </w:p>
        </w:tc>
      </w:tr>
      <w:tr>
        <w:trPr>
          <w:trHeight w:val="20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3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FF0FC"/>
          </w:tcPr>
          <w:p>
            <w:pPr>
              <w:spacing w:after="0"/>
              <w:rPr>
                <w:sz w:val="17"/>
                <w:szCs w:val="17"/>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and the VIE Group’s net revenue is derived from fees charged for providing services, including loan facilitation services, guarantee services, and other revenues. In accordance with the agreements with our and the VIE Group’s borrowers and institutional funding partners, we and the VIE Group collect service fees from customers in facilitating loan transactions. In addition, we and the VIE Group charge other fees contingent on future events, such as variable consideration due to borrowers’ actual repayment 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9" w:name="page110"/>
    <w:bookmarkEnd w:id="10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institutional funding partners. Our and the VIE Group’s net revenue is presented net of VAT. Our and the VIE Group’s net revenue is recognized as revenues from loan facilitation services, revenues from releasing of guarantee liabilities and other revenues.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2"/>
                <w:szCs w:val="12"/>
                <w:color w:val="auto"/>
              </w:rPr>
            </w:pPr>
          </w:p>
        </w:tc>
        <w:tc>
          <w:tcPr>
            <w:tcW w:w="16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60" w:type="dxa"/>
            <w:vAlign w:val="bottom"/>
            <w:gridSpan w:val="7"/>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8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Revenue from loan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facilitation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3,489,184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4,011,776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5,112,466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731,073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r>
      <w:tr>
        <w:trPr>
          <w:trHeight w:val="198"/>
        </w:trPr>
        <w:tc>
          <w:tcPr>
            <w:tcW w:w="28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Revenue from the releasing</w:t>
            </w: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guarantee liabilities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1,393,081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1,357,705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652,467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0"/>
                <w:szCs w:val="20"/>
                <w:color w:val="auto"/>
              </w:rPr>
            </w:pP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revenue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584,608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431,551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457,257</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49"/>
        </w:trPr>
        <w:tc>
          <w:tcPr>
            <w:tcW w:w="2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5,466,873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5,801,032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6,222,190</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889,762</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-25400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loan facilitation services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provide service through the facilitation of loan transactions between borrowers and institutional funding partners. Our and the VIE Group’s service mainly consist of performing credit assessment on the borrowers and referring qualified borrowers to the institutional funding partners and facilitating the execution of loan agreements between the parties. We and the VIE Group assesses ability and intention to pay the service fees of the customers when they become due and determines if the collection of the service fees is probable, based on historical experiences as well as the credit due diligence performed before cooperation.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determine the total transaction price to be the service fees chargeable according to the contracts, net of value-added tax. Under certain agreements, the transaction price includes variable consideration due to borrowers’ actual repayment to institutional funding partners. We and the VIE Group estimate variable consideration for these contracts using the expected value approach on the basis of historical information. We and the VIE Group identify one performance obligation under ASC Topic 606, as we and the VIE Group do not retain any further obligations after the facilitation of a loan.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recognize revenue when (or as) the entity satisfies the service/ performance obligation by transferring the promised service (that is, an asset) to customers based on the underlying contract terms excluding consideration of impairment of contract assets or accounts receivable. Revenues from loan facilitation services are recognized at the time a loan is facilitated between the institutional funding partners and the borrower and the principal loan balance is transferred to the borrower, at which time the facilitation service is considered completed.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the releasing of guarantee liabilities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started to provide primary guarantee since the fourth quarter of 2022. We recognized the stand-ready guarantee liabilities on a gross basis and amortize the entire amount into “revenue from releasing of guarantee liabilities” over the term of the guarantee. See “—E. Critical Accounting Estimates—Guarantee liabilities”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revenues primarily include service fees charged to the third-party financial service providers for the referral service of borrowers and investors, and interest income generated from loan services to individuals overseas.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generated from oversea individuals is recognized over the terms of loans receivable using the effective interest rate method under ASC Topic 310. Interest income is not recorded when reasonable doubt exists as to the full, timely collection of interest income or principal. Interest collected upfront at the loan inception is recorded as deferred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breakdown of our and the VIE Group’s other revenue, both in absolute amount and as a percentage of our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Group’s total net revenue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2"/>
                <w:szCs w:val="12"/>
                <w:color w:val="auto"/>
              </w:rPr>
            </w:pPr>
          </w:p>
        </w:tc>
        <w:tc>
          <w:tcPr>
            <w:tcW w:w="16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60" w:type="dxa"/>
            <w:vAlign w:val="bottom"/>
            <w:gridSpan w:val="7"/>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Referral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388,081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16"/>
        </w:trPr>
        <w:tc>
          <w:tcPr>
            <w:tcW w:w="2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106,886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revenue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584,608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431,551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457,257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65,387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-170815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-170815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and the VIE Group’s operating costs and expenses primarily consist of facilitation and servicing expenses, sales and marketing expenses, general and administrative expenses, research and development expenses, and allowance for uncollectible receivables, contract assets, prepaid expenses and other current assets and others. We and the VIE Group expect our and the VIE Group’s operating expenses to be in line with our and the VIE Group’s business development. The following table sets forth our and the VIE Group’s operating costs and expenses both in absolute amount and as a percentage of our and the VIE Group’s total net revenue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spacing w:after="0"/>
              <w:rPr>
                <w:sz w:val="12"/>
                <w:szCs w:val="12"/>
                <w:color w:val="auto"/>
              </w:rPr>
            </w:pPr>
          </w:p>
        </w:tc>
        <w:tc>
          <w:tcPr>
            <w:tcW w:w="174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20" w:type="dxa"/>
            <w:vAlign w:val="bottom"/>
            <w:gridSpan w:val="2"/>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30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20" w:type="dxa"/>
            <w:vAlign w:val="bottom"/>
            <w:tcBorders>
              <w:top w:val="single" w:sz="8" w:color="auto"/>
            </w:tcBorders>
          </w:tcPr>
          <w:p>
            <w:pPr>
              <w:jc w:val="right"/>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480" w:type="dxa"/>
            <w:vAlign w:val="bottom"/>
            <w:tcBorders>
              <w:top w:val="single" w:sz="8" w:color="auto"/>
            </w:tcBorders>
            <w:gridSpan w:val="3"/>
          </w:tcPr>
          <w:p>
            <w:pPr>
              <w:jc w:val="right"/>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9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160" w:type="dxa"/>
            <w:vAlign w:val="bottom"/>
            <w:tcBorders>
              <w:top w:val="single" w:sz="8" w:color="auto"/>
            </w:tcBorders>
            <w:gridSpan w:val="2"/>
          </w:tcPr>
          <w:p>
            <w:pPr>
              <w:jc w:val="right"/>
              <w:ind w:right="3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6"/>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cost and</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Facilitation and servicing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2,011,553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2,033,511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176,712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Allowance for uncollectible</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 contract</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prepaid expenses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other current assets,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others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72,764</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1,538,913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1,913,868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214,856</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302,470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296,317</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372,441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427,125</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70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operating cost and</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4,134,403</w:t>
            </w:r>
          </w:p>
        </w:tc>
        <w:tc>
          <w:tcPr>
            <w:tcW w:w="24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260" w:type="dxa"/>
            <w:vAlign w:val="bottom"/>
            <w:vMerge w:val="restart"/>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4,553,017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22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4,424,861</w:t>
            </w:r>
          </w:p>
        </w:tc>
        <w:tc>
          <w:tcPr>
            <w:tcW w:w="220" w:type="dxa"/>
            <w:vAlign w:val="bottom"/>
            <w:vMerge w:val="restart"/>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632,746</w:t>
            </w:r>
          </w:p>
        </w:tc>
        <w:tc>
          <w:tcPr>
            <w:tcW w:w="200" w:type="dxa"/>
            <w:vAlign w:val="bottom"/>
            <w:vMerge w:val="restart"/>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tcBorders>
              <w:bottom w:val="single" w:sz="8" w:color="CFF0FC"/>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-24765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and the VIE Group’s operating cost and expenses paid to related parties both in absolute amounts and as a percentage of our and the VIE Group’s total net revenue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2"/>
                <w:szCs w:val="12"/>
                <w:color w:val="auto"/>
              </w:rPr>
            </w:pPr>
          </w:p>
        </w:tc>
        <w:tc>
          <w:tcPr>
            <w:tcW w:w="16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88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3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420" w:type="dxa"/>
            <w:vAlign w:val="bottom"/>
            <w:tcBorders>
              <w:top w:val="single" w:sz="8" w:color="auto"/>
            </w:tcBorders>
            <w:gridSpan w:val="3"/>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tcBorders>
              <w:top w:val="single" w:sz="8" w:color="auto"/>
            </w:tcBorders>
          </w:tcPr>
          <w:p>
            <w:pPr>
              <w:jc w:val="right"/>
              <w:ind w:right="3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40" w:type="dxa"/>
            <w:vAlign w:val="bottom"/>
            <w:tcBorders>
              <w:top w:val="single" w:sz="8" w:color="auto"/>
            </w:tcBorders>
            <w:gridSpan w:val="2"/>
          </w:tcPr>
          <w:p>
            <w:pPr>
              <w:jc w:val="right"/>
              <w:ind w:right="35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r>
      <w:tr>
        <w:trPr>
          <w:trHeight w:val="173"/>
        </w:trPr>
        <w:tc>
          <w:tcPr>
            <w:tcW w:w="2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gridSpan w:val="7"/>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28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incurred with related</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2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Facilitation and servicing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r>
      <w:tr>
        <w:trPr>
          <w:trHeight w:val="216"/>
        </w:trPr>
        <w:tc>
          <w:tcPr>
            <w:tcW w:w="2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118,074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74,549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7,461</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2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8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-1036320</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-1036320</wp:posOffset>
            </wp:positionV>
            <wp:extent cx="768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-1036320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-1036320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-1036320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-1036320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i w:val="1"/>
          <w:iCs w:val="1"/>
          <w:color w:val="auto"/>
        </w:rPr>
        <w:t>Facilitation and Servicing</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Facilitation and servicing expenses primarily consist of variable expenses including costs related to back-to-back guarantee service fee to third-party companies, credit assessment, user and system support, payment processing services and collection, associated with facilitating and servicing loans, salaries and benefits and share-based compensation for the personnel who work on credit checking, data processing and analysis, loan facilitation, user and system support.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and marketing expenses primarily consist of variable marketing and promotional expenses, including those expenses related to acquisition and retention of borrowers and institutional funding partners, and general brand and awareness building. Salaries and benefits expenses as well as share-based compensation related to our and the VIE Group’s sales and marketing personnel and other expenses related to our sales and marketing team are also included in the sales and marketing expenses. Borrower acquisition expenses include charges by third-party online channels for online marketing services such as search engine marketing, search engine optimization, information feeds, and referral fees charged by other parties relating to borrower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benefits and share-based compensation related to accounting and finance, business development, legal, human resources and other personnel, as well as professional service fees related to various corporate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other compensation expenses for personnel engaged in research and development activities, as well as technology infrastructure expenses and server expenses.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effect of share-based compensation expenses on our and the VIE Group’s operating cost and expenses line items, both in an absolute amount and as a percentage of total net revenue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46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2"/>
                <w:szCs w:val="12"/>
                <w:color w:val="auto"/>
              </w:rPr>
            </w:pPr>
          </w:p>
        </w:tc>
        <w:tc>
          <w:tcPr>
            <w:tcW w:w="166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60" w:type="dxa"/>
            <w:vAlign w:val="bottom"/>
            <w:gridSpan w:val="7"/>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Facilitation and servicing</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90,205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8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share-based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54,353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59,122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157,938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22,585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-281940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-281940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-281940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-281940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-281940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-281940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Jiayin Group Inc. is incorporated in the Cayman Islands. Under the current laws of the Cayman Islands, Jiayin Group Inc. is not subject to income or capital gains taxes. In addition, dividend payments are not subject to withholdings tax in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first 2.0 million Hong Kong dollars of profits that our subsidiary incorporated in Hong Kong earned are subject to be taxed at an income tax rate at 8.25%, while the remaining profits will continue to be taxed at the existing tax rate of 16.5%. Additionally, payments of dividends by the subsidiary incorporated in Hong Kong to us are not subject to any Hong Kong withholding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Law of the People’s Republic of China on Enterprise Income Tax (“EIT Law”), we and the VIE Group incorporated in the PRC are subject to statutory rate of 25%. High-technology enterprises may obtain a preferential tax rate of 15% provided they meet the related criteria. An enterprise’s qualification as a “high and new technology enterprise” (“HNTE”) is reassessed by the relevant PRC governmental authorities every three years. Geerong Yunke and Jiayin Shuke was entitled for a preferential income tax rate of 15% from 2022 to 2024 and from 2025 to 2027 as they are qualified as HNTE. Jiayin Technology was entitled for a preferential income tax rate of 15% from 2025 to 2027 as it was qualified as HNTE. From 2023 to 2024, Chuangzhen Software has been qualified as an eligible software enterprise and benefited from a preferential tax rate of 12.5%. From 2022 to 2024, Guangxi Chuangzhen benefits from a preferential tax rate of 9% as it falls within the encouraged industries catalogue in western China. From 2025, it is probable that Guangxi Chuangzhen does not fall within the encouraged industries catalogue any longer but still benefits from a preferential tax rate of 15% in western China. From 2023, Hainan Yinke benefits from a preferential tax rate of 15% as it was registered in Hainan and engaged in encouraged business activities.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are subject to VAT at the rate of 6% or 3% given that they are classified as a general tax payer. Entities that are VAT general taxpayers are allowed to offset qualified input VAT paid to suppliers against their output VAT liabilities.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Chinese Mainland and the Hong Kong Special Administrative Region for the Avoidance of Double Taxation and Tax Evasion on Income and receives approval from the relevant tax authority. If our Hong Kong subsidiary satisfies all the requirements under the tax arrangement, then the dividends paid to the Hong Kong subsidiary would be subject to withholding tax at the standard rate of 5%.</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Cayman Islands holding company or any of our subsidiaries outside of China were deemed to be a “resident enterprise” under the PRC Enterprise Income Tax Law, it would be subject to enterprise income tax on its worldwide income at a rate of 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and the VIE Group’s consolidated results of operations for the periods presented, both in absolute amount and as a percentage of our and the VIE Group’s total operating revenues for the periods presented. This information should be read together with our and the VIE Group’s consolidated financial statements and related notes included elsewhere in this annual report. The results of operations in any period are not necessarily indicative of our and the VIE Group’s future trends.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20" w:type="dxa"/>
            <w:vAlign w:val="bottom"/>
          </w:tcPr>
          <w:p>
            <w:pPr>
              <w:spacing w:after="0"/>
              <w:rPr>
                <w:sz w:val="12"/>
                <w:szCs w:val="12"/>
                <w:color w:val="auto"/>
              </w:rPr>
            </w:pPr>
          </w:p>
        </w:tc>
        <w:tc>
          <w:tcPr>
            <w:tcW w:w="144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920" w:type="dxa"/>
            <w:vAlign w:val="bottom"/>
          </w:tcPr>
          <w:p>
            <w:pPr>
              <w:spacing w:after="0"/>
              <w:rPr>
                <w:sz w:val="10"/>
                <w:szCs w:val="10"/>
                <w:color w:val="auto"/>
              </w:rPr>
            </w:pPr>
          </w:p>
        </w:tc>
        <w:tc>
          <w:tcPr>
            <w:tcW w:w="1440" w:type="dxa"/>
            <w:vAlign w:val="bottom"/>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1420" w:type="dxa"/>
            <w:vAlign w:val="bottom"/>
          </w:tcPr>
          <w:p>
            <w:pPr>
              <w:jc w:val="right"/>
              <w:ind w:right="68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760" w:type="dxa"/>
            <w:vAlign w:val="bottom"/>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220" w:type="dxa"/>
            <w:vAlign w:val="bottom"/>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880" w:type="dxa"/>
            <w:vAlign w:val="bottom"/>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r>
      <w:tr>
        <w:trPr>
          <w:trHeight w:val="173"/>
        </w:trPr>
        <w:tc>
          <w:tcPr>
            <w:tcW w:w="2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14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5,466,873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5,801,032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6,222,190</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889,761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shd w:val="clear" w:color="auto" w:fill="CFF0FC"/>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Facilitation and servicing</w:t>
            </w:r>
          </w:p>
        </w:tc>
        <w:tc>
          <w:tcPr>
            <w:tcW w:w="144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(2,011,553)</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(36.8)</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rPr>
              <w:t>(2,033,511)</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(1,235,767)</w:t>
            </w:r>
          </w:p>
        </w:tc>
        <w:tc>
          <w:tcPr>
            <w:tcW w:w="122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(176,712)</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r>
      <w:tr>
        <w:trPr>
          <w:trHeight w:val="189"/>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Allowance for uncollectible</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contract assets,</w:t>
            </w: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and others</w:t>
            </w:r>
          </w:p>
        </w:tc>
        <w:tc>
          <w:tcPr>
            <w:tcW w:w="1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(72,764)</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(12,204)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(31,520)</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(4,507)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w:t>
            </w:r>
          </w:p>
        </w:tc>
      </w:tr>
      <w:tr>
        <w:trPr>
          <w:trHeight w:val="20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Sales and marketing</w:t>
            </w:r>
          </w:p>
        </w:tc>
        <w:tc>
          <w:tcPr>
            <w:tcW w:w="144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(1,538,913)</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(28.1)</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rPr>
              <w:t>(1,913,868)</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(33.0)</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(2,427,979)</w:t>
            </w:r>
          </w:p>
        </w:tc>
        <w:tc>
          <w:tcPr>
            <w:tcW w:w="122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(347,196)</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(39.0)</w:t>
            </w: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(214,856)</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(220,993)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17"/>
                <w:szCs w:val="17"/>
                <w:color w:val="auto"/>
              </w:rPr>
            </w:pP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(302,470)</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(43,253)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4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(296,317)</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rPr>
              <w:t>(372,441)</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(427,125)</w:t>
            </w:r>
          </w:p>
        </w:tc>
        <w:tc>
          <w:tcPr>
            <w:tcW w:w="122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(61,078)</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187"/>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cost and</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9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(4,134,403)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(75.5)</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(4,553,017)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(78.5)</w:t>
            </w:r>
          </w:p>
        </w:tc>
        <w:tc>
          <w:tcPr>
            <w:tcW w:w="140" w:type="dxa"/>
            <w:vAlign w:val="bottom"/>
          </w:tcPr>
          <w:p>
            <w:pPr>
              <w:spacing w:after="0"/>
              <w:rPr>
                <w:sz w:val="18"/>
                <w:szCs w:val="18"/>
                <w:color w:val="auto"/>
              </w:rPr>
            </w:pP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(4,424,861)</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(632,746)</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(71.2)</w:t>
            </w:r>
          </w:p>
        </w:tc>
      </w:tr>
      <w:tr>
        <w:trPr>
          <w:trHeight w:val="20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4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1,332,470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1,248,015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1,797,329</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257,015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100" w:type="dxa"/>
            <w:vAlign w:val="bottom"/>
            <w:shd w:val="clear" w:color="auto" w:fill="CFF0FC"/>
          </w:tcPr>
          <w:p>
            <w:pPr>
              <w:spacing w:after="0"/>
              <w:rPr>
                <w:sz w:val="17"/>
                <w:szCs w:val="17"/>
                <w:color w:val="auto"/>
              </w:rPr>
            </w:pPr>
          </w:p>
        </w:tc>
      </w:tr>
      <w:tr>
        <w:trPr>
          <w:trHeight w:val="189"/>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Gain from de-recognition of</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w:t>
            </w: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280,231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40" w:type="dxa"/>
            <w:vAlign w:val="bottom"/>
          </w:tcPr>
          <w:p>
            <w:pPr>
              <w:spacing w:after="0"/>
              <w:rPr>
                <w:sz w:val="18"/>
                <w:szCs w:val="18"/>
                <w:color w:val="auto"/>
              </w:rPr>
            </w:pPr>
          </w:p>
        </w:tc>
        <w:tc>
          <w:tcPr>
            <w:tcW w:w="14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Loss from disposal of subsidiaries</w:t>
            </w:r>
          </w:p>
        </w:tc>
        <w:tc>
          <w:tcPr>
            <w:tcW w:w="144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(2,012)</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420" w:type="dxa"/>
            <w:vAlign w:val="bottom"/>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color w:val="auto"/>
              </w:rPr>
              <w:t>(14,431)</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Impairment of long-term</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(91,236)</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(51,923)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8"/>
                <w:szCs w:val="18"/>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Interest income, net</w:t>
            </w:r>
          </w:p>
        </w:tc>
        <w:tc>
          <w:tcPr>
            <w:tcW w:w="14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12,895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color w:val="auto"/>
              </w:rPr>
              <w:t>18,281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8,945</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1,279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net</w:t>
            </w: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14,834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4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95,426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67,111</w:t>
            </w: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9,597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r>
      <w:tr>
        <w:trPr>
          <w:trHeight w:val="187"/>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 and</w:t>
            </w:r>
          </w:p>
        </w:tc>
        <w:tc>
          <w:tcPr>
            <w:tcW w:w="1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share of income from equity</w:t>
            </w:r>
          </w:p>
        </w:tc>
        <w:tc>
          <w:tcPr>
            <w:tcW w:w="14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8"/>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method investments</w:t>
            </w:r>
          </w:p>
        </w:tc>
        <w:tc>
          <w:tcPr>
            <w:tcW w:w="144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1,547,182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28.4</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1,295,368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1,873,385</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267,891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shd w:val="clear" w:color="auto" w:fill="CFF0FC"/>
          </w:tcPr>
          <w:p>
            <w:pPr>
              <w:spacing w:after="0"/>
              <w:rPr>
                <w:sz w:val="18"/>
                <w:szCs w:val="18"/>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tax expense</w:t>
            </w:r>
          </w:p>
        </w:tc>
        <w:tc>
          <w:tcPr>
            <w:tcW w:w="14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(247,616)</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14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(238,900)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7"/>
                <w:szCs w:val="17"/>
                <w:color w:val="auto"/>
              </w:rPr>
            </w:pPr>
          </w:p>
        </w:tc>
        <w:tc>
          <w:tcPr>
            <w:tcW w:w="11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(337,652)</w:t>
            </w:r>
          </w:p>
        </w:tc>
        <w:tc>
          <w:tcPr>
            <w:tcW w:w="12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(48,284)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r>
      <w:tr>
        <w:trPr>
          <w:trHeight w:val="189"/>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Share of loss from equity</w:t>
            </w:r>
          </w:p>
        </w:tc>
        <w:tc>
          <w:tcPr>
            <w:tcW w:w="14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2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method investments</w:t>
            </w:r>
          </w:p>
        </w:tc>
        <w:tc>
          <w:tcPr>
            <w:tcW w:w="144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(1,990)</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420" w:type="dxa"/>
            <w:vAlign w:val="bottom"/>
            <w:shd w:val="clear" w:color="auto" w:fill="CFF0FC"/>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1,297,576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w:t>
            </w:r>
          </w:p>
        </w:tc>
        <w:tc>
          <w:tcPr>
            <w:tcW w:w="240" w:type="dxa"/>
            <w:vAlign w:val="bottom"/>
          </w:tcPr>
          <w:p>
            <w:pPr>
              <w:spacing w:after="0"/>
              <w:rPr>
                <w:sz w:val="18"/>
                <w:szCs w:val="18"/>
                <w:color w:val="auto"/>
              </w:rPr>
            </w:pPr>
          </w:p>
        </w:tc>
        <w:tc>
          <w:tcPr>
            <w:tcW w:w="14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1,056,468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1,535,733</w:t>
            </w: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219,607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tcPr>
          <w:p>
            <w:pPr>
              <w:spacing w:after="0"/>
              <w:rPr>
                <w:sz w:val="18"/>
                <w:szCs w:val="18"/>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Our and the VIE Group’s net revenue increased from RMB5,801.0 million in 2024 to RMB6,222.2 million (US$889.8million) in 2025.</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loan facilitation services increased from RMB4,011.8 million in 2024 to RMB5,112.5 million (US$731.1 million) in 2025, primarily attributed to the increase in the facilitation volume from RMB100.8 billion to RMB129.0 billion (US$18.4 billion).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the releasing of guarantee liabilities decreased from RMB1,357.7 million in 2024 to RMB652.5 million (US$93.3 million) in 2025, primarily due to the decrease in average outstanding loan balances for which we and the VIE Group provided guarantee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from other revenue increased from RMB431.5 million in 2024 to RMB457.2 million (US$65.4 million) in 2025.</w:t>
      </w:r>
    </w:p>
    <w:p>
      <w:pPr>
        <w:spacing w:after="0" w:line="22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and the VIE Group’s total operating costs and expenses decreased from RMB4,553.0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RMB4,424.9 million (US$632.7 million) in 2025, primarily due to decreased expenses related to financial guarantee services and partially offset by increased borrower acquisition expenses and commission expenses.</w:t>
      </w:r>
    </w:p>
    <w:p>
      <w:pPr>
        <w:spacing w:after="0" w:line="173" w:lineRule="exact"/>
        <w:rPr>
          <w:sz w:val="20"/>
          <w:szCs w:val="20"/>
          <w:color w:val="auto"/>
        </w:rPr>
      </w:pPr>
    </w:p>
    <w:p>
      <w:pPr>
        <w:jc w:val="both"/>
        <w:ind w:left="1020" w:hanging="503"/>
        <w:spacing w:after="0" w:line="26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Facilitation and servicing expenses. </w:t>
      </w:r>
      <w:r>
        <w:rPr>
          <w:rFonts w:ascii="Times New Roman" w:cs="Times New Roman" w:eastAsia="Times New Roman" w:hAnsi="Times New Roman"/>
          <w:sz w:val="18"/>
          <w:szCs w:val="18"/>
          <w:color w:val="auto"/>
        </w:rPr>
        <w:t>Our and the VIE Group’s facilitation and servicing expenses decreased from RMB2,033.5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RMB1,235.8 million (US$176.7 million) in 2025, primarily due to decrease in average outstanding loan balances for which we and the VIE Group provided guarantee services.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Allowance for uncollectible receivables, contract assets, prepaid expenses and other current assets and others. </w:t>
      </w:r>
      <w:r>
        <w:rPr>
          <w:rFonts w:ascii="Times New Roman" w:cs="Times New Roman" w:eastAsia="Times New Roman" w:hAnsi="Times New Roman"/>
          <w:sz w:val="18"/>
          <w:szCs w:val="18"/>
          <w:color w:val="auto"/>
        </w:rPr>
        <w:t>Our and the VIE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uncollectible receivables, contract assets, prepaid expenses and other current assets and others increased from RMB12.2 million in 2024 to RMB31.5 million (US$4.5 million) in 2025, primarily due to increased allowance for oversea contingent guarantees and other current assets.</w:t>
      </w:r>
    </w:p>
    <w:p>
      <w:pPr>
        <w:spacing w:after="0" w:line="7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and the VIE Group’s sales and marketing expenses increased from RMB1,913.9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RMB2,428.0 million (US$347.2 million) in 2025, primarily due to an increase in borrower acquisition expenses and commission expenses.</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and the VIE Group’s general and administrative expenses increased from RMB221.0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RMB302.5 million (US$43.3 million) in 2025, primarily driven by an increase in share-based compensation.</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and the VIE Group’s research and development expenses increased from RMB372.4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RMB427.1 million (US$61.1 million) in 2025, primarily due to an increase in professional service fees and employee-related costs.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We and the VIE Group recognized interest income of RMB18.3 million in 2024 and RMB8.9 million (US$1.3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Our and the VIE Group’s other income decreased from RMB95.4 million in 2024 to RMB67.1 million (US$9.6 million) in 2025.</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before income taxes and share of loss from equity method investments. </w:t>
      </w:r>
      <w:r>
        <w:rPr>
          <w:rFonts w:ascii="Times New Roman" w:cs="Times New Roman" w:eastAsia="Times New Roman" w:hAnsi="Times New Roman"/>
          <w:sz w:val="18"/>
          <w:szCs w:val="18"/>
          <w:color w:val="auto"/>
        </w:rPr>
        <w:t>As a result of foregoing, we and the VIE Group recognized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income taxes and share of loss from equity method investments of RMB1,295.4 million and RMB1,873.4 million (US$267.9 million) in 2024 and 2025, respectively.</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We and the VIE Group recognized tax expenses of RMB238.9 million in 2024 and RMB337.7 million (US$48.3 million)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As a result of foregoing, we and the VIE Group recorded net income of RMB1,056.5 million and RMB1,535.7 million (US$219.6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2024 and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2(ad) to the consolidated financial statements for details on recent accounting pronouncements and our adoption of certain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inflation in China has not materially impacted our and the VIE Group’s results of operations. According to the National Bureau of Statistics of China, the year-over-year percent changes in the consumer price index for December 2023, 2024 and 2025 were decrease of 0.3%, decrease of 0.1% and 0%, respectively. Although we and the VIE Group have not been materially affected by inflation in the past, we and the VIE Group can provide no assurance that we and the VIE Group will not be affected by higher rates of inflation in China in the future.</w:t>
      </w:r>
    </w:p>
    <w:p>
      <w:pPr>
        <w:spacing w:after="0" w:line="176"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Liquidity and Capital Resource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and the VIE Group’s primary source of liquidity has been cash provided by operating activities, and funds provided by our and the VIE Group’s shareholders, including through capital contributions and loans from related parties, which has historically been sufficient to meet our and the VIE Group’s working capital and substantially all of our and the VIE Group’s capital expenditure requirements. As of December 31, 2023, 2024 and 2025, we and the VIE Group had RMB370.2 million, RMB540.5 million and RMB61.8 million (US$8.8 million), respectively, in cash and cash equivalents.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2019, we completed our initial public offering in which we issued and sold an aggregate of 4,025,000 ADSs, representing 16,100,000 class A ordinary shares, resulting in net proceeds to us of approximately US$35.0 million.</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6, 2025, Shanghai Jirongzhicheng entered into a loan facility agreement with certain financial institutions (the “Lenders”), pursuant to which the Lenders agreed to provide a loan facility (the “Loan Facility”) of up to RMB600 million (US$85.8 million). The Loan Facility has an interest rate per annum equal to over-five-year loan prime rate, which was fixed at 3.5%, and will mature on November 11, 2032. To secure the Loan Facility, Jirongzhicheng has agreed to mortgage certain commercial property it owns to the Lenders, and its parent, Geerong Yunke, has agreed to pledge its 100% equity interest in Jirongzhicheng to the Lenders. In addition, Geerong Yunke and Jiayin Technology have agreed to provide guarantees for the Loan Facility in favor of the Lenders. As of December 31, 2025, we had drawn down an aggregate amount of RMB600.0 million (US$85.8 million) from the Loan Facility, among which RMB84.0 million (US$12.0 million) will be due in 2026.</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in relation to the repayment obligations, see “Notes to Consolidated Financial Statements—Note 14. bank borrowings” of our audited consolidated financial statements included elsewhere in this annual report.</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and the VIE Group’s cash and cash equivalents primarily consist of cash on hand and demand deposits which are highly liquid and have original maturities of three months or less and are unrestricted as to withdrawal or use. We and the VIE Group believe that our and the VIE Group’s current cash and cash equivalents and our and the VIE Group’s anticipated cash flows from operations will be sufficient to meet our and the VIE Group’s anticipated working capital requirements and capital expenditures for the next 12 months. We and the VIE Group may, however, need additional capital in the future to fund our and the VIE Group’s continued operations. If we and the VIE Group determine that our and the VIE Group’s cash requirements exceed the amount of cash and cash equivalents we and the VIE Group have on hand at the time, we and the VIE Group may seek to issue equity or debt securities or obtain credit facilities. The issuance and sale of additional equity would result in further dilution to our and the VIE Group’s shareholders. The incurrence of indebtedness would result in increased fixed obligations and could result in operating covenants that might restrict our and the VIE Group’s operations. We and the VIE Group cannot assure you that financing will be available in amounts or on terms acceptable to us, if at all.</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consolidate the results of the VIE Group, we only have access to cash balances or future earnings of the VIE Group through our contractual arrangements with them. See “Item 4. Information on the Company—C. Organizational Structure” For restrictions and limitations on liquidity and capital resources as a result of our corporate structure, see “—Holding Company Structure.”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wholly foreign-owned subsidiaries in China only through loans or capital contributions, subject to the approval of government authorities and limits on the amount of capital contributions and loans. In addition, our wholly foreign-owned subsidiaries in China may provide Renminbi funding to their respective subsidiaries through capital contributions and entrusted loans, and to the VIE Group only through entrusted loans. See “Item 3. Key Information —D. Risk Factors—Risks Relating to Doing Business in China—PRC regulation of loans to and direct investment in PRC entities by offshore holding companies and governmental administration of currency conversion may delay or prevent us from using the proceeds of further offerings to make loans to or make additional capital contributions to our PRC subsidiaries, which could materially and adversely affect our liquidity and our ability to fund and expand our business.” and “Item 14. Material Modifications to the Rights of Security Holders and Use of Proceeds.”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and the VIE Group’s cash flows for the period presented:</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840" w:type="dxa"/>
            <w:vAlign w:val="bottom"/>
          </w:tcPr>
          <w:p>
            <w:pPr>
              <w:spacing w:after="0"/>
              <w:rPr>
                <w:sz w:val="12"/>
                <w:szCs w:val="12"/>
                <w:color w:val="auto"/>
              </w:rPr>
            </w:pPr>
          </w:p>
        </w:tc>
        <w:tc>
          <w:tcPr>
            <w:tcW w:w="138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380" w:type="dxa"/>
            <w:vAlign w:val="bottom"/>
            <w:tcBorders>
              <w:bottom w:val="single" w:sz="8" w:color="auto"/>
            </w:tcBorders>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3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38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Summary Consolidated Cash Flow Data:</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3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Net cash provided by</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389,588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1,425,488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1,257,354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179,799</w:t>
            </w:r>
          </w:p>
        </w:tc>
        <w:tc>
          <w:tcPr>
            <w:tcW w:w="120" w:type="dxa"/>
            <w:vAlign w:val="bottom"/>
          </w:tcPr>
          <w:p>
            <w:pPr>
              <w:spacing w:after="0"/>
              <w:rPr>
                <w:sz w:val="20"/>
                <w:szCs w:val="20"/>
                <w:color w:val="auto"/>
              </w:rPr>
            </w:pPr>
          </w:p>
        </w:tc>
      </w:tr>
      <w:tr>
        <w:trPr>
          <w:trHeight w:val="198"/>
        </w:trPr>
        <w:tc>
          <w:tcPr>
            <w:tcW w:w="3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Net cash used in</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(105,850)</w:t>
            </w:r>
          </w:p>
        </w:tc>
        <w:tc>
          <w:tcPr>
            <w:tcW w:w="15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(783,520)</w:t>
            </w:r>
          </w:p>
        </w:tc>
        <w:tc>
          <w:tcPr>
            <w:tcW w:w="4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(1,946,206)</w:t>
            </w: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(278,303)</w:t>
            </w:r>
          </w:p>
        </w:tc>
      </w:tr>
      <w:tr>
        <w:trPr>
          <w:trHeight w:val="198"/>
        </w:trPr>
        <w:tc>
          <w:tcPr>
            <w:tcW w:w="3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(193,481)</w:t>
            </w: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(332,687)</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487,172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69,664</w:t>
            </w:r>
          </w:p>
        </w:tc>
        <w:tc>
          <w:tcPr>
            <w:tcW w:w="120" w:type="dxa"/>
            <w:vAlign w:val="bottom"/>
          </w:tcPr>
          <w:p>
            <w:pPr>
              <w:spacing w:after="0"/>
              <w:rPr>
                <w:sz w:val="20"/>
                <w:szCs w:val="20"/>
                <w:color w:val="auto"/>
              </w:rPr>
            </w:pPr>
          </w:p>
        </w:tc>
      </w:tr>
      <w:tr>
        <w:trPr>
          <w:trHeight w:val="198"/>
        </w:trPr>
        <w:tc>
          <w:tcPr>
            <w:tcW w:w="38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at beginning of the year</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293,041</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372,628</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677,855</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96,932</w:t>
            </w:r>
          </w:p>
        </w:tc>
        <w:tc>
          <w:tcPr>
            <w:tcW w:w="120" w:type="dxa"/>
            <w:vAlign w:val="bottom"/>
            <w:shd w:val="clear" w:color="auto" w:fill="CFF0FC"/>
          </w:tcPr>
          <w:p>
            <w:pPr>
              <w:spacing w:after="0"/>
              <w:rPr>
                <w:sz w:val="20"/>
                <w:szCs w:val="20"/>
                <w:color w:val="auto"/>
              </w:rPr>
            </w:pPr>
          </w:p>
        </w:tc>
      </w:tr>
      <w:tr>
        <w:trPr>
          <w:trHeight w:val="198"/>
        </w:trPr>
        <w:tc>
          <w:tcPr>
            <w:tcW w:w="3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at end of the year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372,628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677,855</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475,438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67,987</w:t>
            </w:r>
          </w:p>
        </w:tc>
        <w:tc>
          <w:tcPr>
            <w:tcW w:w="120" w:type="dxa"/>
            <w:vAlign w:val="bottom"/>
          </w:tcPr>
          <w:p>
            <w:pPr>
              <w:spacing w:after="0"/>
              <w:rPr>
                <w:sz w:val="20"/>
                <w:szCs w:val="20"/>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RMB1,257.4 million (US$179.8 million) in 2025, primarily due to net income of RMB1,535.7 million (US$219.6 million), mainly adjusted for share-based compensation of RMB157.9 million (US$22.6 million), depreciation and amortization of RMB70.9 million (US$10.1 million), allowance for uncollectible receivables, contract assets, prepaid expenses and other current assets and others of RMB31.5 million (US$4.5 million), non-cash lease expenses of RMB25.7 million(US$3.7 million) and changes in working capital. Changes in working capital were primarily due to (i) an increase in accounts receivable and contract assets of RMB748.6 million (US$107.1 million) in connection with uncollected service fees, which was in line with the increasing facilitation volume, (ii) an increase in prepaid expenses and other current assets of RMB566.6 million (US$81.0 million), and (iii) an increase in financial assets receivable of RMB327.6 million (US$46.8 million) due to the increase in average outstanding loan balances for which we and the VIE Group provided guarantee services, partially offset by (i) an increase in contingent guarantee liabilities of RMB384.0 million (US$54.9 million) as a result of higher outstanding loan balances subject to the guarantee services, (ii) an increase in tax payables of RMB367.5 million (US$52.6 million), and (iii) an increase in deferred guarantee income of RMB229.4 million (US$32.8 million).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RMB1,425.5 million in 2024, primarily due to net income of RMB1,056.5 million, mainly adjusted for gain on recovery of Long-term investment of RMB69.0 million, share-based compensation of RMB59.1 million, impairment of long-term investments of RMB51.9 million, non-cash lease expenses of RMB23.6 million, depreciation and amortization of RMB17.9 million, allowance for uncollectible receivables, contract assets, prepaid expenses and other current assets and others of RMB12.2 million, and changes in working capital. Changes in working capital were primarily due to (i) an increase in accounts receivable and contract assets of RMB886.5 million in connection with uncollected service fees, which was in line with the increasing facilitation volume, (ii) a decrease in deferred guarantee income of RMB657.4 million due to the decrease in average outstanding loan balances for which we and the VIE Group provided guarantee services, and (iii) a decrease in contingent guarantee liabilities of RMB728.2 million, as a result of lower outstanding loan balances subject to the guarantee services, partially offset by (i) a decrease in prepaid expenses and other current assets of RMB1,494.5 million due to the back-to-back guarantee arrangements, (ii) a decrease in financial assets receivable of RMB701.7 million, (iii) an increase in accrued expenses and other liabilities of RMB190.6 million, and (iv) an increase in tax payable of RMB124.8 million.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RMB389.6 million in 2023, primarily due to net income of RMB1,297.6 million, mainly adjusted for gain from de-recognition of liabilities of RMB280.2 million, impairment of long-term investments of RMB91.2 million, allowance for uncollectible receivables, contract assets, prepaid expenses and other current assets and others of RMB72.8 million, share-based compensation of RMB54.4 million, non-cash lease expenses of RMB21.0 million, depreciation and amortization of RMB9.5 million, and changes in working capital. Changes in working capital were primarily due to (i) an increase in accounts receivable and contract assets of RMB497.5 million in connection with uncollected service fees, which was in line with the increasing facilitation volume, (ii) an increase in prepaid expenses and other current assets of RMB1,890.4 million due to the back-to-back guarantee arrangements, and (iii) an increase in financial assets receivable of RMB917.8 million, partially offset by (i) an increase in deferred guarantee income of RMB821.6 million, (ii) an increase in contingent guarantee liabilities of RMB933.9 million as we and the VIE group began to provide primary guarantee to certain loans facilitated since late 2022, (iii) an increase in accrued expenses and other liabilities of RMB445.0 million, and (iv) an increase in tax payable of RMB219.3 million.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RMB1,946.2 million (US$278.3 million) in 2025, primarily due to investing cash outflow to a third-party company of RMB864.4 million (US$123.6 million), purchase of property, equipment and software of RMB635.1 million (US$90.8 million), loans to related parties of RMB550.0 million (US$78.6 million), and acquisition of long-term investments of RMB238.4 million (US$34.1 million), partially offset by loan repayments from related parties of RMB250.0 million (US$35.8 million) and proceeds from recovery of long-term investments of RMB71.3 million (US$10.2 million).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RMB783.5 million in 2024, primarily due to purchase of property, equipment and software of RMB739.1 million, loans to related parties of RMB120.0 million, acquisition of long-term investments of RMB97.6 million, and net investment and collection in other investing activities of RMB23.3 million, partially offset by loan repayments from related parties of RMB130.1 million and proceeds from recovery of long-term investments of RMB69.0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RMB105.9 million in 2023, primarily due to acquisition of long-term investments of RMB77.5 million, disposal of subsidiaries, net of cash disposed of RMB68.7 million, partially offset by net collection other investing activities of RMB53.8 million, and loan repayments from related parties of RMB31.2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RMB487.2 million (US$69.7 million) in 2025, primarily due to loans from related parties of RMB756.5 million (US$108.2 million) and loans from banks of RMB669.6 million (US$95.8 million), partially offset by repayment of loans from related parties of RMB720.0 million (US$103.0), Repurchase of ordinary shares of RMB110.7 million (US$ 15.8 million) and dividend distributed to shareholders of RMB108.2 million (US$ 15.5 million).</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RMB332.7 million in 2024, primarily due to dividend distributed to shareholders of RMB301.2 million and repurchase of ordinary shares of RMB53.3 million, partially offset by loans from related parties of RMB27.3 million.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RMB193.5 million in 2023, primarily due to dividend distributed to shareholders of RMB156.7 million and repurchase of ordinary shares of RMB38.1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and the VIE Group’s material cash requirements as of December 31, 2025 and any subsequent interim period primarily include our and the VIE Group’s payment of employee’s payroll and welfare expenses, taxes and other various selling, general and administrative expenses to support our daily business operations and capital expenditures. These requirements also include our and the VIE Group’s obligations for the repayment of outstanding bank borrowings. See note 14 to the consolidated financial statements for details on contractual maturities of our and VIE Group’s bank borrowings as of December 31, 2025.</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those discussed above, we and the VIE Group did not have any significant capital and other commitments, long-term obligations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and the VIE Group made capital expenditures of RMB31.5 million, RMB739.1 million and RMB635.1 million (US$90.8 million) in 2023, 2024 and 2025, respectively. In 2025, our and the VIE Group’s capital expenditures were mainly used for purchase of certain commercial property, equipment, including servers, computers and other office equipment, and office renovation. We and the VIE Group will continue to make capital expenditures to meet the expected growth of our and the VIE Group’s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512"/>
        <w:spacing w:after="0" w:line="255" w:lineRule="auto"/>
        <w:rPr>
          <w:sz w:val="20"/>
          <w:szCs w:val="20"/>
          <w:color w:val="auto"/>
        </w:rPr>
      </w:pPr>
      <w:r>
        <w:rPr>
          <w:rFonts w:ascii="Times New Roman" w:cs="Times New Roman" w:eastAsia="Times New Roman" w:hAnsi="Times New Roman"/>
          <w:sz w:val="18"/>
          <w:szCs w:val="18"/>
          <w:color w:val="auto"/>
        </w:rPr>
        <w:t>Jiayin Group Inc. is a holding company with no material operations of its own. We conduct our operations primarily through our subsidiaries, consolidated VIE and its subsidiaries in China. As a result, Jiayin Group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relevant PRC laws and regulations permit the PRC companies, such as our PRC subsidiaries and the consolidated VIE, to pay dividends only out of their retained earnings, if any, as determined in accordance with PRC accounting standards and regulations. Each of our PRC subsidiaries and the consolidated VIE that is in retained earnings position as of the end of each year is required to set aside 10% of its after-tax profits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18"/>
          <w:szCs w:val="18"/>
          <w:color w:val="auto"/>
        </w:rPr>
        <w:t>each year, if any, to fund certain statutory reserve funds until such reserve funds reach 50% of its registered capital. Furthermore, each of our PRC subsidiaries and the consolidated VIE may allocate a portion of its after-tax profits based on PRC accounting standards to a discretionary surplus fund at their discretion. The statutory reserve funds and the discretionary funds are not distributable as cash dividends. After our PRC subsidiaries and the consolidated VIE have generated retained earnings and met the requirements for appropriation to the statutory reserves and until such reserves reach 50% of its registered capital, respectively, our PRC subsidiaries and the consolidated VIE can distribute dividends upon approval of the shareholders. Remittance of dividends by a wholly foreign-owned company out of China is subject to examination by the banks designated by SAFE.</w:t>
      </w:r>
    </w:p>
    <w:p>
      <w:pPr>
        <w:spacing w:after="0" w:line="18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and Development, Patents and Licenses, etc.</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 Information on the Company—B. Business Overview—Intellectual Property.”</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Trend Information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from January 1, 2025 to December 31, 2025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180"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Critical Accounting Estimates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 An accounting estimate is considered critical if it is made basing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 We believe that the following critical accounting estimates involve the most significant judgments used in the preparation of our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an allowance for our financial assets, mainly accounts receivable and contract assets and financial assets receivable and prepaid expenses and other current assets based on estimate of the expected credit losses over the contractual term of these financial assets.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Allowances for the above-mentioned financial assets are driven by estimated default rate of respective counterparties. With the assistant of a third-party valuation firm, we estimate the default rate based on loss rate with forward looking factors. External factors, such as CPI and GDP are also applied based on regular review and updated on a timely basis once we become aware of any new patterns. Estimates can vary over time due to changes in the factors noted above and management’s judgments regarding these factors; further, exposures can be difficult to estimate, particularly in situations in which the Company has limited experience or transparency with certain counterparties. Our estimate of the key assumptions related to credit losses did not change significantly throughout the periods presented.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allowance for accounts receivable and contract assets is RMB2.6 million (US$0.4 million), reversal of allowance for financial assets receivable is RMB1.4 million (US$0.2 million), and allowance for prepaid expenses and other current assets is RMB10.1 million (US$1.4 million). If change in various factors constituting the estimate of loss rate result in 10 percentage point increase/decrease in the overall estimate loss rate, it would result in an increase/decrease of RMB2.4 million (US$0.4 million), RMB38.5 thousand (US$5.5 thousand) and RMB1.1 million (US$0.2 million) for allowance for accounts receivable and contract assets, financial assets receivable and prepaid expenses and other current assets,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liabilities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provide guarantee services directly or cooperating with third-party financing guarantee companies for certain loans we facilitated. We recognize a stand-ready guarantee liability at fair value at inception of guarantee, which is released into guarantee revenue over the term of the guarantee. We also separately record a contingent guarantee liability based on estimate of future payout by us upon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18"/>
          <w:szCs w:val="18"/>
          <w:color w:val="auto"/>
        </w:rPr>
        <w:t>borrowers’ default, which is ultimately determined by the estimated default rate of underlying loans subject to guarantee. We estimate the borrower’s default rate based on historical default rate of underlying loans subject to guarantee on a pool basis according to the historical delinquency data by vintage and adjusted by our current risk and business strategies which we believe it could have potential impacts into the future periods, if any. The contingent guarantee is revalued at each period end to reflect updated estimation for future pay-out. There are significant judgments and estimations by management in determining the estimated default rate with the underlying assumptions, which led to judgment and subjectivity. As of December 31, 2025, outstanding balance for deferred guarantee income and contingent guarantee liabilities is RMB458.9 million (US$65.6 million) and RMB589.8 million (US$84.3 million), respectively. If change in various factors constituting the estimate of default rate result in 10 percentage point increase/decrease in the overall estimate default rate, it would result in an increase/decrease of RMB59.0 million (US$8.4 million) for contingent guarantee liability.</w:t>
      </w:r>
    </w:p>
    <w:p>
      <w:pPr>
        <w:spacing w:after="0" w:line="192"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the VIE Group have not entered into any derivative contracts that are indexed to our and the VIE Group’s shares and classified as shareholder’s equity or that are not reflected in our and the VIE Group’s consolidated financial statements. Furthermore, we and the VIE Group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Safe Harbor</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“Forward-Looking Statements” at the beginning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9"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Senior Management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646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Dinggui Yan</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shd w:val="clear" w:color="auto" w:fill="CFF0FC"/>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Founder, director and chief executive officer</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Zhe Wang</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Group head of technology and product</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Chunlin Fan</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shd w:val="clear" w:color="auto" w:fill="CFF0FC"/>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Yifang Xu</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48</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risk officer</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Libin Wang</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shd w:val="clear" w:color="auto" w:fill="CFF0FC"/>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vice president of finance</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Yuhchang Hwang</w:t>
            </w:r>
          </w:p>
        </w:tc>
        <w:tc>
          <w:tcPr>
            <w:tcW w:w="1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Meng Rui</w:t>
            </w:r>
          </w:p>
        </w:tc>
        <w:tc>
          <w:tcPr>
            <w:tcW w:w="18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18"/>
                <w:szCs w:val="18"/>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4" w:lineRule="exact"/>
        <w:rPr>
          <w:sz w:val="20"/>
          <w:szCs w:val="20"/>
          <w:color w:val="auto"/>
        </w:rPr>
      </w:pPr>
    </w:p>
    <w:p>
      <w:pPr>
        <w:jc w:val="both"/>
        <w:ind w:firstLine="50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Dinggui Yan </w:t>
      </w:r>
      <w:r>
        <w:rPr>
          <w:rFonts w:ascii="Times New Roman" w:cs="Times New Roman" w:eastAsia="Times New Roman" w:hAnsi="Times New Roman"/>
          <w:sz w:val="18"/>
          <w:szCs w:val="18"/>
          <w:color w:val="auto"/>
        </w:rPr>
        <w:t>is our founder, and has served as our director since 2015, and as our chief executive officer since 2016. He has also been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Shanghai Wuxingjia since 2014, and the chairman and general manager of Jiayin Technology since 2011. Prior to founding our company, Mr. Yan served as the general manager of Beijing Tianrongxin Network Safety Technology Co., Ltd. in the region of Zhejiang from 2007 to 2010. From 2000 to 2006, Mr. Yan served as the general manager of Shanghai Tongtian Information Technology Co., Ltd. Mr. Yan received a doctorate degree from University of Geneva in 2023, a master’s degree from China Europe International Business School in 2016, and a bachelor’s degree from Xidian University in 1990.</w:t>
      </w:r>
    </w:p>
    <w:p>
      <w:pPr>
        <w:spacing w:after="0" w:line="1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Zhe Wang </w:t>
      </w:r>
      <w:r>
        <w:rPr>
          <w:rFonts w:ascii="Times New Roman" w:cs="Times New Roman" w:eastAsia="Times New Roman" w:hAnsi="Times New Roman"/>
          <w:sz w:val="18"/>
          <w:szCs w:val="18"/>
          <w:color w:val="auto"/>
        </w:rPr>
        <w:t>has served as our Group Head of Technology and Product since April 2025. He has over 15 years of experience in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across the internet and financial technology sectors. Prior to joining the Company, Mr. Wang held several senior leadership roles at Ant Group from 2015 to 2025, overseeing key technology functions within the consumer finance business, including data technology, risk control systems, and core system architecture. From 2011 to 2014, he served as a technical expert at Alibaba Group. Mr. Wang received his bachelor’s degree in computer science and technology from Zhejiang University of Science and Technology in 2006.</w:t>
      </w:r>
    </w:p>
    <w:p>
      <w:pPr>
        <w:spacing w:after="0" w:line="17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0A0A0A"/>
        </w:rPr>
        <w:t xml:space="preserve">Mr. </w:t>
      </w:r>
      <w:r>
        <w:rPr>
          <w:rFonts w:ascii="Times New Roman" w:cs="Times New Roman" w:eastAsia="Times New Roman" w:hAnsi="Times New Roman"/>
          <w:sz w:val="18"/>
          <w:szCs w:val="18"/>
          <w:b w:val="1"/>
          <w:bCs w:val="1"/>
          <w:i w:val="1"/>
          <w:iCs w:val="1"/>
          <w:color w:val="000000"/>
        </w:rPr>
        <w:t>Chunlin</w:t>
      </w:r>
      <w:r>
        <w:rPr>
          <w:rFonts w:ascii="Times New Roman" w:cs="Times New Roman" w:eastAsia="Times New Roman" w:hAnsi="Times New Roman"/>
          <w:sz w:val="18"/>
          <w:szCs w:val="18"/>
          <w:b w:val="1"/>
          <w:bCs w:val="1"/>
          <w:i w:val="1"/>
          <w:iCs w:val="1"/>
          <w:color w:val="0A0A0A"/>
        </w:rPr>
        <w:t xml:space="preserve"> Fan </w:t>
      </w:r>
      <w:r>
        <w:rPr>
          <w:rFonts w:ascii="Times New Roman" w:cs="Times New Roman" w:eastAsia="Times New Roman" w:hAnsi="Times New Roman"/>
          <w:sz w:val="18"/>
          <w:szCs w:val="18"/>
          <w:color w:val="0A0A0A"/>
        </w:rPr>
        <w:t>previously served as the Company’s Chief Financial Officer from January 2016 to January 2021. Prior to rejoining the Company</w:t>
      </w:r>
      <w:r>
        <w:rPr>
          <w:rFonts w:ascii="Times New Roman" w:cs="Times New Roman" w:eastAsia="Times New Roman" w:hAnsi="Times New Roman"/>
          <w:sz w:val="18"/>
          <w:szCs w:val="18"/>
          <w:b w:val="1"/>
          <w:bCs w:val="1"/>
          <w:i w:val="1"/>
          <w:iCs w:val="1"/>
          <w:color w:val="0A0A0A"/>
        </w:rPr>
        <w:t xml:space="preserve"> </w:t>
      </w:r>
      <w:r>
        <w:rPr>
          <w:rFonts w:ascii="Times New Roman" w:cs="Times New Roman" w:eastAsia="Times New Roman" w:hAnsi="Times New Roman"/>
          <w:sz w:val="18"/>
          <w:szCs w:val="18"/>
          <w:color w:val="0A0A0A"/>
        </w:rPr>
        <w:t>in May 2022, Mr. Fan worked as the Chief Financial Officer of LinkDoc Technology Limited from January 2021 to March 2022. Mr. Fan worked as the Chief Financial Officer and leader of the strategic development department at Shanghai Richtech Engineering Co., Ltd. from 2014 to 2016. Mr. Fan also served a wide range of international corporations including Microsoft, Nomura, Macquarie, ICBCI, Deloitte and Shenyin &amp; Wanguo Investment Co. Ltd. Mr. Fan received his MBA from University of Michigan’s Ross School of Business in 2007, and a bachelor’s degree in engineering from Shanghai Jiaotong University in 1998.</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0" w:name="page121"/>
    <w:bookmarkEnd w:id="120"/>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Yifang Xu </w:t>
      </w:r>
      <w:r>
        <w:rPr>
          <w:rFonts w:ascii="Times New Roman" w:cs="Times New Roman" w:eastAsia="Times New Roman" w:hAnsi="Times New Roman"/>
          <w:sz w:val="18"/>
          <w:szCs w:val="18"/>
          <w:color w:val="auto"/>
        </w:rPr>
        <w:t>has served as our director since May 2019. Ms. Xu has been our chief risk officer since July 2018. Prior to joining our company,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Xu worked as a director in risk management department at Ant Financial Services Group from 2016 to 2018, leading various lending business solution consultancy and delivery in risk management to consumer banks and leading fin-tech lending companies. From 2015 to 2016, Ms. Xu served as a chief operating officer at Shanghai Fujin Finance and Information Service Corporation, commonly known as Huasheng Finance. From 2004 to 2015, Ms. Xu held various positions in Capital One Financial Corporation (NYSE: COF) in risk management, product management and distribution channel management with credit card business and direct banking, including senior analyst, manager, senior manager and department director. Ms. Xu received her MBA from Kellogg School of Management, Northwestern University in 2004, a master’s degree in economics from University of International Business and Economics in 2000, and a bachelor’s degree in economics from Nanjing University of Aeronautics and Astronautics in 1997.</w:t>
      </w:r>
    </w:p>
    <w:p>
      <w:pPr>
        <w:spacing w:after="0" w:line="185" w:lineRule="exact"/>
        <w:rPr>
          <w:sz w:val="20"/>
          <w:szCs w:val="20"/>
          <w:color w:val="auto"/>
        </w:rPr>
      </w:pPr>
    </w:p>
    <w:p>
      <w:pPr>
        <w:jc w:val="both"/>
        <w:ind w:firstLine="5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Libin Wang </w:t>
      </w:r>
      <w:r>
        <w:rPr>
          <w:rFonts w:ascii="Times New Roman" w:cs="Times New Roman" w:eastAsia="Times New Roman" w:hAnsi="Times New Roman"/>
          <w:sz w:val="18"/>
          <w:szCs w:val="18"/>
          <w:color w:val="auto"/>
        </w:rPr>
        <w:t>has served as our director since May 2019. Mr. Wang has been our vice president of finance since 2018. He served as a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supervisor in our company from 2017 to 2018, and as our asset management supervisor from 2015 to 2017. Prior to joining our company, Mr. Wang worked at China Sino-Trans Shipping Agency Shanghai Co., Ltd. and its subsidiaries from 2008 to 2014, responsible for financial-related work. Mr. Wang received his master’s degree in accounting from Fudan University in 2015 and his bachelor’s degree in financial management from Shanghai Second Polytechnic University in 2008.</w:t>
      </w:r>
    </w:p>
    <w:p>
      <w:pPr>
        <w:spacing w:after="0" w:line="1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Yuhchang Hwang </w:t>
      </w:r>
      <w:r>
        <w:rPr>
          <w:rFonts w:ascii="Times New Roman" w:cs="Times New Roman" w:eastAsia="Times New Roman" w:hAnsi="Times New Roman"/>
          <w:sz w:val="18"/>
          <w:szCs w:val="18"/>
          <w:color w:val="auto"/>
        </w:rPr>
        <w:t>has served as our director since May 2019. Since 2013, Mr. Hwang has been working at China Europe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School as a professor in accounting, the department chair in finance and accounting, and a co-director of China Europe International Business School center on China innovation. He has also served as an emeritus professor in Arizona State University since 2013, and served as its assistant professor and a tenured associate professor from 1987 to 1995 and 1995 to 2001, respectively. Since 2015, Mr. Hwang has been an independent director, chair of the compensation committee, and member of the audit committee and strategy committee of Shanghai Jahwa United Co., Ltd. (SSE: 600315), and the chair of its nominating committee since 2018. Mr. Hwang has also worked as an independent director of Red Avenue New Materials Group Co., Ltd. (SSE: 603650) since 2016, and the chair of its audit committee, compensation committee and nominating committee since 2017. Mr. Hwang has also served as an independent director, chair of the compensation committee and member of the audit committee and nominating committee of Opple Lighting Co., Ltd. (SSE: 603515) since 2017. From January 2018 to May 2018, Mr. Hwang worked as an independent director, chair of the compensation committee and member of the audit committee of Chongqing Iron &amp; Steel Company Limited (SEHK: 1053). From 2015 to 2017, Mr. Hwang was as an independent director, chair of the audit committee, and member of the compensation committee and strategy committee of Shanghai Tianji Technology Co., Ltd. (SZSE: 300245). From 2012 to 2018, Mr. Hwang worked as an independent director, chair of the audit committee, and member of the compensation committee and strategy committee of Baoshan Iron &amp; Steel Co., Ltd. (SSE: 600019). Mr. Hwang received his Ph.D. in business administration from University of California, Berkeley in 1987, and a master’s degree in science from National Chengchi University in 1979.</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Meng Rui </w:t>
      </w:r>
      <w:r>
        <w:rPr>
          <w:rFonts w:ascii="Times New Roman" w:cs="Times New Roman" w:eastAsia="Times New Roman" w:hAnsi="Times New Roman"/>
          <w:sz w:val="18"/>
          <w:szCs w:val="18"/>
          <w:color w:val="auto"/>
        </w:rPr>
        <w:t>has served as our director since May 2019. Mr. Rui has been a professor of finance and accounting at China Europe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School since 2012, and has held the title of Zhongkun Group chair in finance at China Europe International Business School since 2015. Mr. Rui is also a tenured professor at the Chinese University of Hong Kong and held various positions in the Chinese University of Hong Kong from 2002 to 2012, including a senior research associate of the Institute of Economics and Finance from 2005 to 2012, a deputy director of the Center for Institutions and Governance from 2005 to 2012, and a program director of master of accountancy and executive master of professional accountancy from 2003 to 2012. From 1997 to 2002, Mr. Rui served as a deputy director of the China accounting and finance center at the Hong Kong Polytechnic University. He also serves as an independent director of COSCO Shipping Energy Transportation Co., Ltd. (SEHK: 1138, SSE:600026) since 2016, an independent director and chairman of the audit committee of Shanghai Winner Information Technology Co., Inc. (SZSE: 300609) since 2017, an independent director of Shang Gong Group Co., Ltd. (SSE: 600843) since 2017, an independent director of China Education Group (SEHK: 839) since 2017 and an independent director of Country Garden Service Holding Company Limited (SEHK: 6098) since 2018. From 2015 to 2018, Mr. Rui worked as an independent director of Midea Group Co., Ltd. (SZSE: 000333). Mr. Rui is also a member of various professional committees, including but not limited to American Finance Association, Financial Management Association, American Accounting Association and Hong Kong Securities Institute. He is also a vice president of Hong Kong Financial Engineering Association. Mr. Rui received his Ph.D. in business administration and MBA in 1997 and 1996, respectively, both from University of Houston, a master’s degree in economics from Oklahoma State University in 1993, and a bachelor’s degree in international economics from University of International Relations in 1990.</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1" w:name="page122"/>
    <w:bookmarkEnd w:id="121"/>
    <w:p>
      <w:pPr>
        <w:ind w:left="520" w:hanging="512"/>
        <w:spacing w:after="0"/>
        <w:tabs>
          <w:tab w:leader="none" w:pos="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2025, we paid an aggregate of RMB24.0 million (US$3.4 million) in cash and benefits to our executive officers and directors. We have not set aside or accrued any amount to provide pension, retirement or other similar benefits to our directors and executive officers. Our PRC subsidiaries, the consolidated VIE and its subsidiaries are required by law to make contributions equal to certain percentages of each employee’s salary for his or her pension insurance, medical insurance, unemployment insurance and other statutory benefits and a housing provident fund. Our board of directors may determine compensation to be paid to the directors and the executive officers. The compensation committee will assist the directors in reviewing and approving the compensation structure for the directors and the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entered into employment agreements with our executive officers. Each of our executive officers is employed for a specified time period, which will be automatically extended unless either we or the executive officer gives prior written notice to terminate such employment.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misconducts being inconsistent with the due and faithful discharge of the executive officer’s material duties, guilty of fraud or dishonesty, or habitual neglect of his or her duties. An executive officer may terminate his or her employment at any time with a three-month prior written notice.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employment agreement expires or is earlier terminated, in strict confidence and not to use or disclose to any person, corporation or other entity without written consent, any confidential information, except for the benefit of us. Each executive officer has also agreed to assign to our company all his or her all inventions, improvements, designs, original works of authorship, formulas, processes, compositions of matter, computer software programs, databases, mask works, concepts and trade secrets which the executive officer may solely or jointly conceive or develop or reduce to practice, or cause to be conceived or developed or reduced to practice, during the period of the executive officer’s employment with us that are either related to the scope of the employment or make use of the resources of the company. In addition, all executive officers have agreed to be bound by non-competition and non-solicitation restrictions set forth in their agreements. Specifically, each executive officer has agreed to devote all his or her working time, attention and skills to our business and use best efforts to perform his or her duties. Moreover, each executive officer has agreed not to, for a certain period following termination of his or her employment or expiration of the employment agreement: (i) carry on or be engaged, concerned or interested directly or indirectly whether as shareholder, director, employee, partner, agent or otherwise carry on any business in direct competition with us, (ii) solicit or entice away or attempt to solicit or entice away any of our customer, client, representative or agent, or (iii) employ, solicit or entice away or attempt to employ, solicit or entice away any of our officer, manager, consultant or employee.</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pursuant to which we agree to indemnify our directors and executive officers against certain liabilities and expenses incurred by such persons in connection with claims made by reason of their being such a director or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maintain share incentive plans in order to attract, motivate, retain and reward talent, provide additional incentives to our officers, employees, directors and other eligible persons, and promote the success of our business and the interests of our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Share Incentive Plan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2016, Jiayin Technology adopted the 2016 Share Incentive Plan, which allowed Jiayin Technology to grant share-based awards of such company to our founders, employees and officers. The total number of outstanding shares of Jiayin Technology is 50,000,000 and the maximum number of shares that may be issued pursuant to all awards under the 2016 plan is 13,500,000 shares of Jiayin Technology. In September 2016 and October 2018, 13,321,500 and 2,851,600 share options to purchase the respective number of shares of Jiayin Technology were granted to certain of our employees and officers, among which 4,848,900 options were subsequently canceled, at exercise prices of RMB3.5 per share, which have vesting periods of 4.5 years. All 13,500,000 shares of Jiayin Technology underlying the 2016 Share Incentive Plan is held by Jinmushuihuotu Investment, and upon the exercise of the share options, our employees and officers become a limited partner of Jinmushuihuotu Investment, which allows such grantees to enjoy beneficial ownership in Jiayin Technology representing the respective awards granted. As of the date of this annual report, the sole general partner of Jinmushuihuotu Investment is Jinmushuihuotu Marketing, which is controlled by Mr. Dinggui Yan. All outstanding options granted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2" w:name="page123"/>
    <w:bookmarkEnd w:id="1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2016 Share Incentive Plan have been canceled or replaced with options granted under the 2019 Share Incentive Plan. The 2016 Share Incentive Plan has been terminated when all options granted hereunder were canceled.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Share Incentive Plan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2019, we adopted our 2019 Share Incentive Plan, which permits the grant of options to purchase our ordinary shares. The 2019 Share Incentive Plan was adopted to replace our 2016 Share Incentive Plan. All outstanding options granted under the 2016 Share Incentive Plan have been canceled or replaced with options granted under the 2019 Share Incentive Plan. The maximum number of ordinary shares may be subject to equity awards pursuant to the 2019 Share Incentive Plan is 54,000,000 initially. In connection with the adoption of 2019 Plan, we cancelled 2,377,000 and 1,169,000 share options granted in September 2016 and October 2018, respectively. On April 28, 2025, our board of directors increased the aggregate number of Class A Ordinary Shares reserved for issuance pursuant to awards granted under the 2019 Share Incentive Plan by 24,000,000 additional Class A Ordinary Shares. As of December 31, 2025, we had granted options to purchase an aggregate 73,938,000 Class A ordinary shares (excluding options that were forfeited, cancelled, or exercised after the relevant grant date) and RSUs to receive an aggregate of 29,800,000 Class A ordinary shares (excluding RSUs that were forfeited, cancelled, or vested after the relevant grant date), pursuant to the 2019 Share Incentive Plan.</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established Dream Glory L.P. to hold shares underlying potential awards granted pursuant to our 2019 Share Incentive Plan. In December 2017, 2,700 ordinary shares were issued to in view of the establishment of the 2019 Share Incentive Plan, which were transferred subsequently to Dream Glory L.P. In February 2019, we entered into a shareholding entrustment agreement with Dream Glory L.P., pursuant to which Dream Glory L.P. is entrusted to hold the shares in connection with the 2019 Share Incentive Plan as a nominal holder and Dream Glory L.P. accepts such shareholding entrustment retrospectively. Dream Glory L.P. will use its reasonable best effort to facilitate the exercise of the awards granted under the 2019 Share Incentive Plan and transfer a certain number of ordinary shares held by Dream Glory L.P. to a grantee of the awards or to the depositary bank or its nominee for deposit as evidence for ADSs in settlement of any award in lieu of ordinary shares upon our instruction for free. Dream Glory L.P. is entitled to rights as a member of Jiayin Group Inc. except that Dream Glory L.P. irrevocably agrees that it will (i) abstain from voting on any general meetings of members, or acting as any function at a general meeting, or (ii) not sale, transfer, pledge or otherwise encumbrance of the Ordinary Shares of the Company without our written consent, and sale, transfer, pledge or otherwise encumbrance of the ordinary shares as instructed by us in writing.</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Such 2,700 ordinary shares with a par value of US$0.0001 each were subsequently sub-divided into 54,000,000 ordinary shares with a par value of US$0.000000005 each. Dream Glory L.P. is a limited partnership established in the British Virgin Islands. The general partner of Dream Glory L.P. is New Dream, which is controlled by Mr. Dinggui Yan.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2019 Share Incentive Plan.</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appointed by our board of directors acts as the plan administrator.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committee may also delegate one or more members of our board of directors to grant or amend awards or take other administrative actions.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2019 Share Incentive Plan authorizes the grant of options to purchase ordinary shares, the award of restricted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of RSUs.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award under the 2019 Share Incentive Plan shall be evidenced by an award agreement between the award recipient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may be any written notice, agreement, terms and conditions, contract or other instrument or document evidencing such award.</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plan administrator may select among the following eligible individuals to whom an award may be granted: (i) our employees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who are not our employees; provided however that awards shall not be granted to non-employee directors who are resident of any country in the European Union and any other country, which pursuant to the applicable laws, does not allow grants to non-employee.</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Term of Awards</w:t>
      </w:r>
      <w:r>
        <w:rPr>
          <w:rFonts w:ascii="Times New Roman" w:cs="Times New Roman" w:eastAsia="Times New Roman" w:hAnsi="Times New Roman"/>
          <w:sz w:val="18"/>
          <w:szCs w:val="18"/>
          <w:color w:val="auto"/>
        </w:rPr>
        <w:t>. Each award under the 2019 Share Incentive Plan shall vest or be exercised not more than ten years after the date of grant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by the plan administrator. Each share award is subject to earlier termination as set forth in the 2019 Share Incentive Plan. The award is only exercisable before the eligible individual’s termination of service with us, except as determined otherwise by the plan administrator or set forth in the award agreement. Any awards that are outstanding on the tenth anniversary of the 2019 Share Incentive Plan shall be terminated automatically.</w:t>
      </w:r>
    </w:p>
    <w:p>
      <w:pPr>
        <w:spacing w:after="0" w:line="180"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Vesting Schedule and Other Restrictions</w:t>
      </w:r>
      <w:r>
        <w:rPr>
          <w:rFonts w:ascii="Times New Roman" w:cs="Times New Roman" w:eastAsia="Times New Roman" w:hAnsi="Times New Roman"/>
          <w:sz w:val="18"/>
          <w:szCs w:val="18"/>
          <w:color w:val="auto"/>
        </w:rPr>
        <w:t>. The plan administrator has discretion in determining the individual vesting schedules and other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the awards granted under the 2019 Share Incentive Plan, including vesting conditions related to our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operation performance, the grantee’s department performance and his individual performance. The vesting schedule is set forth in the award agreement.</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Exercise Price and Purchase Price</w:t>
      </w:r>
      <w:r>
        <w:rPr>
          <w:rFonts w:ascii="Times New Roman" w:cs="Times New Roman" w:eastAsia="Times New Roman" w:hAnsi="Times New Roman"/>
          <w:sz w:val="18"/>
          <w:szCs w:val="18"/>
          <w:color w:val="auto"/>
        </w:rPr>
        <w:t>. The plan administrator has discretion in determining the price of the awards, which can be fixed or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fair market value of the underlying ordinary shares and are subject to a number of limitations.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2019 Share Incentive Plan shall expire on the tenth anniversary of the effective date of the 2019 Share Incentive Plan.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Amendment, Suspension or Termination</w:t>
      </w:r>
      <w:r>
        <w:rPr>
          <w:rFonts w:ascii="Times New Roman" w:cs="Times New Roman" w:eastAsia="Times New Roman" w:hAnsi="Times New Roman"/>
          <w:sz w:val="18"/>
          <w:szCs w:val="18"/>
          <w:color w:val="auto"/>
        </w:rPr>
        <w:t>. No amendment, modification or termination of the 2019 Share Incentive Plan shall, without the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of the award recipients, adversely affect in any material way any award that has been granted or awarded prior to such amendment, suspension or termination. Subject to the above, the plan administrator may at any time terminate, amend or modify the 2019 Share Incentive Plan, except where shareholder approval is required to comply with applicable laws or where the amendment relates to (i) any increases in the number of shares available under the 2019 Share Incentive Plan (other than any adjustment permitted under the 2019 Share Incentive Plan), or (ii) an extension of the term of the 2019 Share Incentive Plan or the exercise period for an option beyond ten years from the date of grant. To the extent permissible under the applicable laws, our board of directors may decide to follow home country practice not to seek shareholder approval for any amendment or modification of the 2019 Share Incentive Plan.</w:t>
      </w:r>
    </w:p>
    <w:p>
      <w:pPr>
        <w:spacing w:after="0" w:line="18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Subject also to all the transfer restrictions under the applicable laws and regulations and the restrictions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agreement, all awards are non-transferable and will not be subject in any manner to sale, transfer, anticipation, alienation, assignment, pledge, encumbrance or charge except for certain exceptions set forth in the plan.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following table summarizes the outstanding options we granted to our directors and executive officers under the 2019 Share Incentive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32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2"/>
                <w:szCs w:val="12"/>
                <w:color w:val="auto"/>
              </w:rPr>
            </w:pPr>
          </w:p>
        </w:tc>
        <w:tc>
          <w:tcPr>
            <w:tcW w:w="11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Awarded</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Chunlin Fan</w:t>
            </w:r>
          </w:p>
        </w:tc>
        <w:tc>
          <w:tcPr>
            <w:tcW w:w="12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RMB3.5</w:t>
            </w:r>
          </w:p>
        </w:tc>
        <w:tc>
          <w:tcPr>
            <w:tcW w:w="1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November 25, 2019</w:t>
            </w:r>
          </w:p>
        </w:tc>
        <w:tc>
          <w:tcPr>
            <w:tcW w:w="1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November 24, 2029</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Yifang Xu</w:t>
            </w:r>
          </w:p>
        </w:tc>
        <w:tc>
          <w:tcPr>
            <w:tcW w:w="1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risk officer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RMB3.5</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November 25, 2019</w:t>
            </w: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24, 2029</w:t>
            </w:r>
          </w:p>
        </w:tc>
        <w:tc>
          <w:tcPr>
            <w:tcW w:w="0" w:type="dxa"/>
            <w:vAlign w:val="bottom"/>
          </w:tcPr>
          <w:p>
            <w:pPr>
              <w:spacing w:after="0"/>
              <w:rPr>
                <w:sz w:val="1"/>
                <w:szCs w:val="1"/>
                <w:color w:val="auto"/>
              </w:rPr>
            </w:pP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Libin Wang</w:t>
            </w:r>
          </w:p>
        </w:tc>
        <w:tc>
          <w:tcPr>
            <w:tcW w:w="12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vice president of finance</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RMB3.5</w:t>
            </w:r>
          </w:p>
        </w:tc>
        <w:tc>
          <w:tcPr>
            <w:tcW w:w="1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November 25, 2019</w:t>
            </w:r>
          </w:p>
        </w:tc>
        <w:tc>
          <w:tcPr>
            <w:tcW w:w="18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November 24, 2029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outstanding shares.</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The following table summarizes the outstanding RSUs which are legally granted to our directors and executive officers under the 2019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3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398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234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Legally Grant Date</w:t>
            </w:r>
          </w:p>
        </w:tc>
        <w:tc>
          <w:tcPr>
            <w:tcW w:w="0" w:type="dxa"/>
            <w:vAlign w:val="bottom"/>
          </w:tcPr>
          <w:p>
            <w:pPr>
              <w:spacing w:after="0"/>
              <w:rPr>
                <w:sz w:val="1"/>
                <w:szCs w:val="1"/>
                <w:color w:val="auto"/>
              </w:rPr>
            </w:pPr>
          </w:p>
        </w:tc>
      </w:tr>
      <w:tr>
        <w:trPr>
          <w:trHeight w:val="173"/>
        </w:trPr>
        <w:tc>
          <w:tcPr>
            <w:tcW w:w="18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RSUs Legally Grant</w:t>
            </w:r>
          </w:p>
        </w:tc>
        <w:tc>
          <w:tcPr>
            <w:tcW w:w="340" w:type="dxa"/>
            <w:vAlign w:val="bottom"/>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Yifang Xu</w:t>
            </w:r>
          </w:p>
        </w:tc>
        <w:tc>
          <w:tcPr>
            <w:tcW w:w="16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chief risk officer</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5,600,000</w:t>
            </w:r>
          </w:p>
        </w:tc>
        <w:tc>
          <w:tcPr>
            <w:tcW w:w="2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5,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1, 2025</w:t>
            </w: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Libin Wang</w:t>
            </w:r>
          </w:p>
        </w:tc>
        <w:tc>
          <w:tcPr>
            <w:tcW w:w="16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vice president of finance</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3,360,000</w:t>
            </w:r>
          </w:p>
        </w:tc>
        <w:tc>
          <w:tcPr>
            <w:tcW w:w="2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October 25,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Chunlin Fan</w:t>
            </w:r>
          </w:p>
        </w:tc>
        <w:tc>
          <w:tcPr>
            <w:tcW w:w="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April 19, 2023</w:t>
            </w: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Zhe Wang</w:t>
            </w:r>
          </w:p>
        </w:tc>
        <w:tc>
          <w:tcPr>
            <w:tcW w:w="16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Group head of technology and product</w:t>
            </w:r>
          </w:p>
        </w:tc>
        <w:tc>
          <w:tcPr>
            <w:tcW w:w="2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29, 2025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outstanding shares.</w:t>
      </w:r>
    </w:p>
    <w:p>
      <w:pPr>
        <w:spacing w:after="0" w:line="225"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Practices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to qualify to serve as a director. A director who is in any way, whether directly or indirectly, interested in a contract, transaction or arrangement, or a proposed contract, transaction or arrangement, with our company is required to declare the nature of his interest at a meeting of our directors. A general notice given to our directors by any director to the effect that he is a member, shareholder, director, partner, officer or employee of any specified company or firm and is to be regarded as interested in any contract, transaction or arrangement which may thereafter be made with that company or firm, shall be deemed to be a sufficient declaration of interest with respect to any such contract,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4" w:name="page125"/>
    <w:bookmarkEnd w:id="124"/>
    <w:p>
      <w:pPr>
        <w:jc w:val="both"/>
        <w:spacing w:after="0" w:line="255" w:lineRule="auto"/>
        <w:rPr>
          <w:sz w:val="20"/>
          <w:szCs w:val="20"/>
          <w:color w:val="auto"/>
        </w:rPr>
      </w:pPr>
      <w:r>
        <w:rPr>
          <w:rFonts w:ascii="Times New Roman" w:cs="Times New Roman" w:eastAsia="Times New Roman" w:hAnsi="Times New Roman"/>
          <w:sz w:val="18"/>
          <w:szCs w:val="18"/>
          <w:color w:val="auto"/>
        </w:rPr>
        <w:t>transaction or arrangement so made or entered into, and after such notice it shall not be necessary for such director to give any further or special notice relating to any particular contract, transaction or arrangement. A director may vote in respect of any contract, transaction or arrangement, or any proposed contract, transaction or arrangement, notwithstanding that he may be interested therein and if he does so his vote shall be counted and he may be counted in the quorum at any meeting of the directors at which any such contract, transaction or arrangement is considered and voted upon.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has a service contract with us that provides for benefits upon termination of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Mr. Yuhchang Hwang and Mr. Meng Rui, and is chaired by Mr. Yuhchang Hwang.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Yuhchang Hwang and Mr. Meng Rui satisfy the “independence” requirements of Rule 5605(a)(2) of the Nasdaq Stock Market Rules and meets the independence standards under Rule 10A-3 under the Exchange Act. Our board of directors has also determined that each of Mr. Yuhchang Hwang and Mr. Meng Rui qualifies as an “audit committee financial expert” within the meaning of the SEC rules and possesses financial sophistication within the meaning of the Listing Rules of the Nasdaq Stock Market. The audit committee oversees our accounting and financial reporting processes and the audits of the financial statements of our company. The audit committee is responsible for, among other things:</w:t>
      </w:r>
    </w:p>
    <w:p>
      <w:pPr>
        <w:spacing w:after="0" w:line="186" w:lineRule="exact"/>
        <w:rPr>
          <w:sz w:val="20"/>
          <w:szCs w:val="20"/>
          <w:color w:val="auto"/>
        </w:rPr>
      </w:pPr>
    </w:p>
    <w:p>
      <w:pPr>
        <w:ind w:left="10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our independent registered public accounting firm and pre-approving all auditing and non-auditing services permitted to be performed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any audit problems or difficulties and management’s response and approving all proposed related party transactions, as defined in Item 404 of Regulation S-K;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the management and our internal auditor and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w:t>
      </w:r>
    </w:p>
    <w:p>
      <w:pPr>
        <w:spacing w:after="0" w:line="22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Yuhchang Hwang, Ms. Yifang Xu and Mr. Libin Wang, and is chaired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Libin Wang. Mr. Yuhchang Hwang satisfies the “independence” requirements of Rule 5605(a)(2) of the Nasdaq Stock Market Rules.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83"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to the board with respect to the compensation for our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with respect to the compensation for our officers and employees other than the chief executive officer;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and benefits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receiving advise from compensation and benefits consultants, legal counsel or other advisors after taking into consideration all factors relevant to that person’s independence from management;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administrating all long-term incentive compensation, stock option, annual bonuses, employee pension and welfare benefit plans.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Dinggui Yan,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Yifang Xu and Mr. Libin Wang, and is chaired by Mr. Dinggui Yan. The nominating and corporate governance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18"/>
          <w:szCs w:val="18"/>
          <w:color w:val="auto"/>
        </w:rPr>
        <w:t>committee assists the board in selecting individuals qualified to become our directors and in determining the composition of the board of directors and its committees. The nominating and corporate governance committee is responsible for, among other things:</w:t>
      </w:r>
    </w:p>
    <w:p>
      <w:pPr>
        <w:spacing w:after="0" w:line="162"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each incumbent director and considering the results of such evaluation when determining whether or not to recommend the retention of such director;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policies and procedures with respect to corporate governance matters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its own performance on an annual basis;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board on its findings and actions periodically.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company shall have not less than three directors, and there shall be no maximum number of directors. Our directors may be elected by an ordinary resolution of our shareholders, or by a resolution of our board of directors (whether to fill a casual vacancy or as an addition to the existing board). Our directors are not subject to a term of office and hold office until the expiration of his or her term or his or her successor shall have been elected and qualified, or until his or her office is otherwise vacated. A director may be removed from office by special resolution, notwithstanding anything in our amended and restated memorandum and articles of association or in any agreement between the Company and such director (but without prejudice to any claim for damages under such agreement). In addition, a director will be removed from office automatically if, among other things, the director (i) becomes bankrupt or makes any arrangement or composition with his creditors; (ii) dies or is found to be or becomes of unsound mind; (iii) resigns by notice in writing to our company; (iv) without special leave of absence from our board of directors, is absent from three consecutive meetings of the board and the board resolves that his office be vacated; (v) is prohibited by any applicable law from being a director; or (vi) is removed from office pursuant to any other provision of our amended and restated memorandum and articles of association. The compensation of our directors may be determined by the board of directors or by an ordinary resolution. There is no mandatory retirement age for directors.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our board of directors.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6" w:name="page127"/>
    <w:bookmarkEnd w:id="126"/>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jc w:val="both"/>
        <w:ind w:firstLine="508"/>
        <w:spacing w:after="0" w:line="266" w:lineRule="auto"/>
        <w:rPr>
          <w:sz w:val="20"/>
          <w:szCs w:val="20"/>
          <w:color w:val="auto"/>
        </w:rPr>
      </w:pPr>
      <w:r>
        <w:rPr>
          <w:rFonts w:ascii="Times New Roman" w:cs="Times New Roman" w:eastAsia="Times New Roman" w:hAnsi="Times New Roman"/>
          <w:sz w:val="18"/>
          <w:szCs w:val="18"/>
          <w:color w:val="auto"/>
        </w:rPr>
        <w:t>We and the VIE Group had 925, 1,028 and 1,155 employees as of December 31, 2023, 2024 and 2025, respectively. As of December 31, 2025, 1,127 of our and the VIE Group’s employees were located in Shanghai, 18 in Beijing, 8 in certain other city in China, and 2 in Singapore. The following table sets forth the breakdown of our and the VIE Group’s employees as of December 31, 2025 by function:</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Functions</w:t>
            </w:r>
          </w:p>
        </w:tc>
        <w:tc>
          <w:tcPr>
            <w:tcW w:w="120" w:type="dxa"/>
            <w:vAlign w:val="bottom"/>
          </w:tcPr>
          <w:p>
            <w:pPr>
              <w:spacing w:after="0"/>
              <w:rPr>
                <w:sz w:val="13"/>
                <w:szCs w:val="13"/>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5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Facilitation and servicing department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department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department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department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6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ind w:firstLine="508"/>
        <w:spacing w:after="0" w:line="261" w:lineRule="auto"/>
        <w:rPr>
          <w:sz w:val="20"/>
          <w:szCs w:val="20"/>
          <w:color w:val="auto"/>
        </w:rPr>
      </w:pPr>
      <w:r>
        <w:rPr>
          <w:rFonts w:ascii="Times New Roman" w:cs="Times New Roman" w:eastAsia="Times New Roman" w:hAnsi="Times New Roman"/>
          <w:sz w:val="18"/>
          <w:szCs w:val="18"/>
          <w:color w:val="auto"/>
        </w:rPr>
        <w:t>We and the VIE Group believe we and the VIE Group offer our and the VIE Group’s employees competitive compensation packages and dynamic work environment that encourages initiatives. As a result, we and the VIE Group have generally been able to attract and retain qualified personnel and maintain a stable core management team. We and the VIE Group plan to hire more experienced and talented employees in the areas such as big data analytics, risk management and operation management as we and the VIE Group expand our and the VIE Group’s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PRC regulations, we and the VIE Group participate in various statutory employee benefit plans, including social insurance funds, namely a pension contribution plan, a medical insurance plan, an unemployment insurance plan, a work-related injury insurance plan and a maternity insurance plan, and a housing provident fund. We and the VIE Group are required under PRC law to make contributions to employee benefit plans at specified percentages of the salaries, bonuses and certain allowances of our and the VIE Group’s employees, up to a maximum amount specified by the local government from time to time. In addition, we and the VIE Group purchased the liability insurance and additional commercial health insurance for our and the VIE Group’s senior management.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believe that we and the VIE Group maintain a good working relationship with our and the VIE Group’s employees, and we and the VIE Group have not experienced any major labor disputes.</w:t>
      </w:r>
    </w:p>
    <w:p>
      <w:pPr>
        <w:spacing w:after="0" w:line="162"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Ownership</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total number of ordinary shares outstanding as of March 31, 2026 was 209,318,184, which includes 78,000,000 ordinary shares held by Dream Glory. L.P. as an entrusted shareholder of shares issued in view of our 2019 Share Incentive Plan, of which 22,454,240 are shares underlying the options and 42,480,000 are underlying the RSUs entitled under our 2019 Share Incentive Plan and the remaining 13,065,760 are reserved for future issuance. Dream Glory L.P. will not vote such ordinary shares it held at general meetings of our company.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adopted a dual class ordinary share structure. The calculations in the table below are based on 209,318,184 ordinary shares (being the sum of 101,318,184 Class A ordinary shares (excluding the 6,781,816 Class A ordinary shares in the form of ADSs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7" w:name="page128"/>
    <w:bookmarkEnd w:id="127"/>
    <w:p>
      <w:pPr>
        <w:spacing w:after="0" w:line="282" w:lineRule="auto"/>
        <w:rPr>
          <w:sz w:val="20"/>
          <w:szCs w:val="20"/>
          <w:color w:val="auto"/>
        </w:rPr>
      </w:pPr>
      <w:r>
        <w:rPr>
          <w:rFonts w:ascii="Times New Roman" w:cs="Times New Roman" w:eastAsia="Times New Roman" w:hAnsi="Times New Roman"/>
          <w:sz w:val="18"/>
          <w:szCs w:val="18"/>
          <w:color w:val="auto"/>
        </w:rPr>
        <w:t>the issuer repurchased under its share repurchase program and held as treasury shares) and 108,000,000 Class B ordinary shares) of the issuer as of March 31, 2026.</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5280" w:type="dxa"/>
            <w:vAlign w:val="bottom"/>
            <w:gridSpan w:val="8"/>
          </w:tcPr>
          <w:p>
            <w:pPr>
              <w:ind w:left="8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 as of March 31, 2026</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on an</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aggregate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as-converted</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0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Dinggui Yan(1)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108,000,000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Yifang Xu(2)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5,454,776</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Libin Wang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Chunlin Fan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Zhe Wang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Yuhchang Hwang</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Meng Rui</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Directors and Executive Officers as a Group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8,776,928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New Dream Capital Holdings Limited(1)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108,000,000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Sunshinewoods Holdings Limited(3)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23,446,492</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Dream Glory L.P.(4)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17,380,004</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Beneficially owns less than 1% of our total outstanding shares.</w:t>
      </w:r>
    </w:p>
    <w:p>
      <w:pPr>
        <w:spacing w:after="0" w:line="225" w:lineRule="exact"/>
        <w:rPr>
          <w:sz w:val="20"/>
          <w:szCs w:val="20"/>
          <w:color w:val="auto"/>
        </w:rPr>
      </w:pPr>
    </w:p>
    <w:p>
      <w:pPr>
        <w:jc w:val="both"/>
        <w:ind w:firstLine="8"/>
        <w:spacing w:after="0" w:line="256" w:lineRule="auto"/>
        <w:tabs>
          <w:tab w:leader="none" w:pos="2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In respect of all matters subject to a shareholders’ vote, each Class A ordinary share is entitled to one vote, and each Class B ordinary share is entitled to ten votes, voting together as one class. Each Class B ordinary share is convertible into one Class A ordinary share at any time by the holder thereof. Class A ordinary shares are not convertible into Class B ordinary shares under any circumstances. Upon any transfer of Class B ordinary shares by a holder to any person or entity which is not an affiliate of such holder, such Class B ordinary shares shall be automatically and immediately converted into the equivalent number of Class A ordinary shares.</w:t>
      </w:r>
    </w:p>
    <w:p>
      <w:pPr>
        <w:spacing w:after="0" w:line="187" w:lineRule="exact"/>
        <w:rPr>
          <w:sz w:val="20"/>
          <w:szCs w:val="20"/>
          <w:color w:val="auto"/>
        </w:rPr>
      </w:pPr>
    </w:p>
    <w:p>
      <w:pPr>
        <w:jc w:val="both"/>
        <w:ind w:left="520" w:hanging="512"/>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1,360,000 Class A ordinary shares and 108,000,000 Class B ordinary shares held by New Dream Capital Holdings Limited, or New Dream, a limited liability company established in the British Virgin Islands. New Dream is wholly owned by Mr. Dinggui Yan and Mr. Dinggui Yan is the sole director of New Dream. The registered address of New Dream is Sertus Incorporations (BVI) Limited, Sertus Chambers, P.O. Box 905, Quastisky Building, Road Town, Tortola, British Virgin Islands.</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Class A ordinary shares held directly by Ms. Yifang Xu, including 5,454,776 Class A ordinary shares which were vested from RSUs. With respect to such 5,454,776 Class A ordinary shares, Ms. Yifang Xu has given an irrevocable proxy to vote such ordinary shares to the plan administrator of our 2019 Share Incentive Plan, and as a result, such ordinary shares are excluded from the voting power of Ms. Yifang Xu. The business address of Ms. Yifang Xu is 18th Floor, Building No. 1, Youyou Century Plaza, 428 South Yanggao Road, Pudong New Area, Shanghai 200122, People’s Republic of China.</w:t>
      </w:r>
    </w:p>
    <w:p>
      <w:pPr>
        <w:spacing w:after="0" w:line="18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23,446,492 ordinary shares held by Sunshinewoods Holdings Limited, or Sunshinewoods, a limited liability company established in the British Virgin Islands. Sunshinewoods is wholly owned by Mr. Guanglin Zhang, an employee of our company. Mr. Guanglin Zhang is the sole director of Sunshinewoods. The registered address of Sunshinewoods is Sertus Incorporations (BVI) Limited, Sertus Chambers, P.O. Box 905, Quastisky Building, Road Town, Tortola, British Virgin Islands.</w:t>
      </w:r>
    </w:p>
    <w:p>
      <w:pPr>
        <w:spacing w:after="0" w:line="179"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17,380,004 ordinary shares held by Dream Glory L.P., a limited partnership established in the British Virgin Islands, which in accordance with the shareholding entrustment agreement entered into between Dream Glory L.P. and us, does not have any voting or investment power. Dream Glory L.P. is established to hold shares underlying potential awards granted pursuant to our share incentive plan. The general partner of Dream Glory L.P. is New Dream, which is controlled by Mr. Dinggui Yan. The registered address of Dream Glory L.P. is Sertus Chambers, P.O. Box 905, Quastisky Building, Road Town, Tortola, British Virgin Islands.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8" w:name="page129"/>
    <w:bookmarkEnd w:id="128"/>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As of March 31, 2026, a total of 15,184,545 ADSs, representing 60,738,180 Class A ordinary shares, were held by holders of record in the United States, representing approximately 29.0% of our total outstanding shares. None of our outstanding Class B ordinary shares were held by holders of record in the United States.</w:t>
      </w:r>
    </w:p>
    <w:p>
      <w:pPr>
        <w:spacing w:after="0" w:line="17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5" w:lineRule="exact"/>
        <w:rPr>
          <w:sz w:val="20"/>
          <w:szCs w:val="20"/>
          <w:color w:val="auto"/>
        </w:rPr>
      </w:pPr>
    </w:p>
    <w:p>
      <w:pPr>
        <w:ind w:left="512" w:right="4600" w:hanging="512"/>
        <w:spacing w:after="0" w:line="438" w:lineRule="auto"/>
        <w:tabs>
          <w:tab w:leader="none" w:pos="5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5" w:right="339" w:bottom="1440" w:gutter="0" w:footer="0" w:header="0"/>
        </w:sectPr>
      </w:pPr>
    </w:p>
    <w:bookmarkStart w:id="129" w:name="page130"/>
    <w:bookmarkEnd w:id="129"/>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9"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Major Shareholders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Jiayin Zhuoyue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and the VIE group engaged Shanghai Jiayin Zhuoyue Corporate Management Co., Ltd. (“Jiayin Zhuoyue”, formerly known as “Shanghai Jiayin Zhuoyue Wealth Management Co., Ltd.”) to refer online investors to us. We and the VIE group paid Jiayin Zhuoyue referral service fees. Jiayin Zhuoyue is controlled by Mr. Dinggui Yan, our founder, director and chief executive officer.</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incurred RMB115.5 million, RMB74.5 million and RMB7.5 million (US$1.1 million) of referral service fees to Jiayin Zhuoyue in 2023, 2024 and 2025,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Amounts due to Jiayin Zhuoyue was RMB11.3 million, RMB27.0 million and RMB6.9 million (US$1.0 million) as of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Shanghai Jiayin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Shanghai Jiayin is controlled by Mr. Dinggui Yan, our founder, director and chief executive officer.</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2024, we and the VIE group provided interest free loans to Shanghai Jiayin with a total amount of RMB120.0 million. As of December 31, 2024, the loan has been collected. In 2025, we and the VIE group provided interest free loans to Shanghai Jiayin with a total amount of RMB250.0 million(US$35.7 million) which has been collected by 2025, and interest bearing loans to Shanghai Jiayin with a total amount of RMB300.0 million(US$42.9 million), fixed annual interest rate of 3% and due in 6 months.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Amounts due from Jiayin Zhuoyue were RMB0.5 million, nil and RMB301.2 million (US$43.1 million) as of December 31, 2023, 2024, and 2025,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and the VIE group rented certain space for annual rental and related fees were of RMB2.5 million, nil and nil in 2023, 2024 and 2025,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2025, we and the VIE group borrowed interest free loans from Shanghai Jiayin for our daily operation with principal of RMB720.0 million(US$ 103.0 million), which has been fully repaid by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Keen Best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2020, we, through our subsidiary, Geerong (HK) and another independent purchaser entered into a share purchase agreement with China Smartpay Group Holdings Limited (“China Smartpay”), to acquire 35 ordinary shares of Keen Best Investment Limited (“Keen Best”), representing 35% equity interest in Keen Best, a wholly-owned subsidiary of China Smartpay for an amount of RMB92.0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we recognized we and the VIE Group’s proportionate share of the equity investee’s net loss into earnings in the amount of RMB2.0 million, nil and nil, respectively. In 2023, the VIE group provided non-interest bearing loans to Keen Best with a total amount of RMB13.9 million. Keen Best is one of our affiliate enterprises. The loan has been fully repaid as of December 31, 2023.</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were no longer able to exert significant influence over Keen Best. Considering the business forecast of the investee, we fully impaired this investment in 2023.</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2024, we received RMB69.0 million for our equity investments in Keen Best and recorded in Other income, net in the consolidated statements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Sunshinewoods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2024, we and the VIE group borrowed interest bearing loans from Sunshinewoods for our daily operation with principal of RMB27.5 million and fixed interest rate of 8%, with term of 360 days, among which RMB5.8 million has been repaid in 2024, and the remaining loans have been extended for one year with the same interest rate in 2025.</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2025, we and the VIE group borrowed interest bearing loans from Sunshinewoods for our daily operation with principal of RMB14.7 million(US$2.1 million) for one year with fixed interest rate of 8%.</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Amounts due to Sunshinewoods related to loans payable was nil, RMB22.2 million and RMB38.0 million (US$5.4 million) as of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New Dream</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2025, we and the VIE group borrowed interest bearing loans from New Dream for our daily operation with principal of RMB21.8 million(US$3.1 million) for one year with fixed interest rate of 8%.</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Amounts due to New Dream related to loans payable was nil, nil and RMB22.6 million (US$3.2 million) as of December 31, 2023, 2024,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Paid to Dream Glory L.P., New Dream and Sunshinewoods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2024, the Board of Directors of the Company approved a dividend of US$ 0.125 per ordinary share, which was paid in September 2024 to shareholders of record as of the close of business on August 27, 2024. In May 2025, the Board of Directors of the Company approved a dividend of US$ 0.20 per ordinary share, which was paid in July 2025 to shareholder of record as of the close of business on July 14, 2025.</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Amounts due to Dream Glory L.P. related to unpaid dividend were RMB23.9 and RMB47.2 million (US$6.7 million) as of December 31 2024 and 2025, respectively. Amounts due to New Dream related to unpaid dividend were RMB16.9 million and RMB142.6 million (US$20.4 million) as of December 31 2024 and 2025, respectively. Amounts due to Sunshinewoods related to unpaid dividend was nil and RMB30.5 million (US$4.4 million) as of December 31 2024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Jiayin Technology Service (Shanghai) Co., Ltd.(“Jiayin Technology Service”)</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2024, we provided loan facilitation services to Jiayin Technology Service, who funded loans through a trust as the sole beneficiary. Jiayin Technology Service is controlled by Mr. Dinggui Yan, our founder, director and chief executive officer. We and the VIE group incurred nil, RMB31.0 million and nil of loan facilitation services fee in 2023, 2024 and 2025, respectively. Amounts due from Jiayin Technology Service was nil, RMB4.4 million and nil as of December 31, 2023, 2024, and 2025, respectively.</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2025, we and the VIE group rented office space for rental to Jiayin Technology Service and related fees was of RMB0.5 million (US$0.1 million)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Jiayin Technology and Its Shareholders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 with Shanghai Caiyin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Plans.”</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Compensation—Employment Agreements and Indemnification Agreements.”</w:t>
      </w:r>
    </w:p>
    <w:p>
      <w:pPr>
        <w:spacing w:after="0" w:line="225"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of Experts and Counsel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9"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Statements and Other Financial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March 2018, Jiayin Technology paid a cash dividend of RMB400 million to its shareholders. Jiayin Group Inc. has not previously declared or paid cash dividends on our Class A ordinary shares.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March 28, 2023, our Board approved and adopted a dividend policy, under which the Company may choose to declare and distribute cash dividend twice each fiscal year, starting from 2023, at an aggregate amount of no less than 15% of the net income after tax of the Company in the previous fiscal year on a consolidated basis. The determination to make dividend distributions in any particular fiscal year will be made at the discretion of the Board based upon factors such as our results of operations, cash flow, general financial condition, capital requirements, contractual restrictions and other factors as the Board may deem relevant. On July 10, 2023, our board of directors approved the payment of a cash dividend of US$0.10 per ordinary share, or US$0.40 per ADS. ("July 2023 Dividend") The aggregate amount of cash distributed for the July 2023 Dividend was approximately US$21.5 million. On January 8, 2024, our board of directors approved the payment of a cash dividend of US$0.10 per ordinary share, or US$0.40 per ADS. ("January 2024 Dividend"). The aggregate amount of cash distributed for the January 2024 Dividend was US$21.2 million. On August 16, 2024, our board of directors approved the payment of a cash dividend of US$0.125 per ordinary share, or US$0.50 per ADS ("August 2024 Dividend"). The aggregate amount of cash distributed for the August 2024 Dividend was US$26.6 million. On November 19, 2024, our board of directors approved and adopted an amended dividend policy (the “Amended Dividend Policy”) to replace the prior dividend policy in its entirety, with immediate effect. Under the Amended Dividend Policy, we may choose to declare and distribute a cash dividend once each fiscal year, starting from 2025, at an aggregate amount of no less than 15% of our net income after tax in the previous fiscal year. On March 27, 2025, in order to provide investors with higher returns, our board of directors approved and adopted a further adjustment to the Amended Dividend Policy to increase the annual dividend amount such that we may choose to declare and distribute a cash dividend once each fiscal year, starting from 2025, at an aggregate amount of around 30% of our net income after tax in the previous fiscal year. The determination to make dividend distributions in any particular fiscal year will be made at the discretion of our board of directors based upon factors such as our results of operations, cash flow, general financial condition, capital requirements, contractual restrictions and other factors as our board of directors may deem relevant. On May 20, 2025, our board of directors approved the payment of a cash dividend of US$0.20 per ordinary share, or US$0.80 per ADS. ("May 2025 Dividend") The aggregate amount of cash distributed for the May 2025 Dividend was approximately US$41.1 million.</w:t>
      </w:r>
    </w:p>
    <w:p>
      <w:pPr>
        <w:spacing w:after="0" w:line="191" w:lineRule="exact"/>
        <w:rPr>
          <w:sz w:val="20"/>
          <w:szCs w:val="20"/>
          <w:color w:val="auto"/>
        </w:rPr>
      </w:pPr>
    </w:p>
    <w:p>
      <w:pPr>
        <w:jc w:val="both"/>
        <w:ind w:firstLine="508"/>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In order for us to distribute any dividends to our shareholders and ADS holders, we may rely on dividends distributed by our PRC subsidiaries. Certain payments from our PRC subsidiaries to us may be subject to PRC withholding income tax. In addition, relevant PRC laws and regulations permit the PRC companies, such as our PRC subsidiaries and the consolidated VIE, to pay dividends only out of their retained earnings, if any, as determined in accordance with PRC accounting standards and regulations. Each of our PRC subsidiaries and the consolidated VIE that is in retained earnings position as of the end of each year is required to set aside at least 10% of its after-tax profits each year, if any, to fund certain statutory reserve funds until such reserve funds reach 50% of its registered capital. Furthermore, each of our PRC subsidiaries and the consolidated VIE may allocate a portion of its after-tax profits based on PRC accounting standards to a discretionary surplus fund at their discretion.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jc w:val="both"/>
        <w:spacing w:after="0" w:line="256" w:lineRule="auto"/>
        <w:rPr>
          <w:sz w:val="20"/>
          <w:szCs w:val="20"/>
          <w:color w:val="auto"/>
        </w:rPr>
      </w:pPr>
      <w:r>
        <w:rPr>
          <w:rFonts w:ascii="Times New Roman" w:cs="Times New Roman" w:eastAsia="Times New Roman" w:hAnsi="Times New Roman"/>
          <w:sz w:val="18"/>
          <w:szCs w:val="18"/>
          <w:color w:val="auto"/>
        </w:rPr>
        <w:t>statutory reserve funds and the discretionary surplus funds are not distributable as cash dividends. After our PRC subsidiaries and the consolidated VIE have generated retained earnings and met the requirements for appropriation to the statutory reserves and until such reserves reach 50% of its registered capital, respectively, our PRC subsidiaries and the consolidated VIE can distribute dividends upon approval of the shareholders See “Item 3. Key Information—D. Risk Factors—Risks Relating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Any dividend declared on our ordinary shares shall be payable equally to holders of Class A and Class B ordinary shares. If we pay any dividends on our ordinary shares, we will pay those dividends which are payable in respect of the underlying Class A ordinary shares represented by our ADSs to the depositary, as the registered holder of such Class A ordinary shares, and the depositary then will pay such amounts to our ADS holders in proportion to the underlying Class A ordinary shares represented by the ADSs held by such ADS holders, subject to the terms of the deposit agreement, including the fees and expenses payable thereunder. Cash dividends on our ordinary shares, if any, will be paid in U.S. dollars.</w:t>
      </w:r>
    </w:p>
    <w:p>
      <w:pPr>
        <w:spacing w:after="0" w:line="192"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Changes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and Listing Details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ADSs, each representing four of our Class A ordinary shares, have been listed on the Nasdaq Stock Market since May 10, 2019. Our ADSs trade under the symbol “JFIN.”</w:t>
      </w:r>
    </w:p>
    <w:p>
      <w:pPr>
        <w:spacing w:after="0" w:line="162" w:lineRule="exact"/>
        <w:rPr>
          <w:sz w:val="20"/>
          <w:szCs w:val="20"/>
          <w:color w:val="auto"/>
        </w:rPr>
      </w:pPr>
    </w:p>
    <w:p>
      <w:pPr>
        <w:ind w:left="520" w:right="9300" w:hanging="512"/>
        <w:spacing w:after="0" w:line="530" w:lineRule="auto"/>
        <w:tabs>
          <w:tab w:leader="none" w:pos="5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Plan of Distribution </w:t>
      </w:r>
      <w:r>
        <w:rPr>
          <w:rFonts w:ascii="Times New Roman" w:cs="Times New Roman" w:eastAsia="Times New Roman" w:hAnsi="Times New Roman"/>
          <w:sz w:val="17"/>
          <w:szCs w:val="17"/>
          <w:color w:val="auto"/>
        </w:rPr>
        <w:t>Not applicable.</w:t>
      </w: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have been listed on the NASDAQ Global Market since May 10, 2019 under the symbol “JFIN”.</w:t>
      </w:r>
    </w:p>
    <w:p>
      <w:pPr>
        <w:spacing w:after="0" w:line="225" w:lineRule="exact"/>
        <w:rPr>
          <w:rFonts w:ascii="Times New Roman" w:cs="Times New Roman" w:eastAsia="Times New Roman" w:hAnsi="Times New Roman"/>
          <w:sz w:val="18"/>
          <w:szCs w:val="18"/>
          <w:color w:val="auto"/>
        </w:rPr>
      </w:pPr>
    </w:p>
    <w:p>
      <w:pPr>
        <w:ind w:left="520" w:right="9220" w:hanging="512"/>
        <w:spacing w:after="0" w:line="500"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Selling Shareholders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Dilution</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520" w:right="9160" w:hanging="512"/>
        <w:spacing w:after="0" w:line="498"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9"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3" w:name="page134"/>
    <w:bookmarkEnd w:id="133"/>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Memorandum and Articles of Association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our corporate affairs are governed by our memorandum and articles of association, as amended from time to time and the Companies Act (As Revised) of the Cayman Islands, which we refer to as the Companies Act below, and the common law of the Cayman Islands.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of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of our issued and outstanding Class A and Class B ordinary shares are fully paid and non-assessable. Our shareholders who are non-residents of the Cayman Islands may freely hold and vote their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holders of our ordinary shares are entitled to receive such dividends as may be declared by our board of directors subject to our memorandum and articles of association and the Companies Act. In addition, our shareholders may by ordinary resolution declare a dividend, but no dividend may exceed the amount recommended by our directors. Under Cayman Islands law, dividends may be paid only out of profits or share premium, provided that, immediately after the payment, we will be able to pay our debts as they become due in the ordinary course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must be entered therein:</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together with a statement of the shares held by each member, and such statement shall confirm (i)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the register of members, or if default is made or unnecessary delay takes place in entering on the register the fact of any person having ceased to be a member, the person or member aggrieved or any member or the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respect of all matters subject to a shareholders’ vote, each registered holder of Class A ordinary shares is, on a poll, entitled to one vote per share, and each registered holder of Class B ordinary shares is, on a poll, entitled to ten votes per share. Holders of Class A ordinary shares and Class B ordinary shares shall, at all times, vote together on all resolutions submitted to a shareholders’ vote. Holders of our ordinary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of the meeting or by one or more shareholders present in person or by proxy (or, if a corporation or other non-natural person, by its duly authorized representative or proxy) who together hold shares which carry in aggregate not less than ten percent of the votes attaching to all issued and outstanding shares of our company that carry the right to vote at the general meeting. An ordinary resolution to be passed by the shareholders requires the affirmative vote of 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simple majority of the votes cast in a general meeting, while a special resolution requires the affirmative vote of no less than two-thirds of the votes cast in a general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and Shareholder Proposals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any two or more of our shareholders, who together hold shares which carry in aggregate not less than ten percent of all votes attaching to all of the issued and outstanding shares of our company, to requisition an extraordinary general meeting of our shareholders, in which case the directors are obliged to call such meeting and to put the resolutions so requisitioned to a vote at such meeting.</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who together hold shares which carry in aggregate not less than one-third (1/3rd) of all votes attaching to all issued and outstanding shares of our company that carry the right to vote at such general meeting, present in person or by proxy or, if a corporation or other non-natural person, by its duly authorized representative. Advance notice of at least seven calendar days is required for the convening of our annual general meeting and other shareholders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 Upon any direct or indirect sale, transfer, assignment or disposition of Class B ordinary shares by a holder to any person or entity which is not an affiliate of such holder or the direct or indirect transfer or assignment of the voting power attached to such number of Class B ordinary shares through voting proxy or otherwise to any person or entity which is not an affiliate of such holder, such Class B ordinary shares shall be automatically and immediately converted into the equivalent number of Class A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Subject to the restrictions in our memorandum and articles of association as set out below, any of our shareholders may transfer all or any of his or her ordinary shares by an instrument of transfer in the usual or common form or any other form approved by our board.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54" w:lineRule="exact"/>
        <w:rPr>
          <w:sz w:val="20"/>
          <w:szCs w:val="20"/>
          <w:color w:val="auto"/>
        </w:rPr>
      </w:pPr>
    </w:p>
    <w:p>
      <w:pPr>
        <w:ind w:left="1020" w:right="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free of any lien in favor of us.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directors refuse to register a transfer they are obligated to, within two calendar months after the date on which the instrument of transfer was lodged, send to each of the transferor and the transferee notice of such refusal. The registration of transfers of shares or of any class of shares may, after compliance with any notice requirement of the designated stock exchange, be suspended at such times and for such periods (not exceeding in the whole thirty (30) days in any calendar year) as our board of directors may determine.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 our shareholders shall be more than 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 We are an exempted company with limited liability incorporated under the Companies Act, and under the Companies Act, the liability of our members is limited to the amount, if any, unpaid on the shares respectively held by them. Our memorandum of association contains a declaration that the liability of our members is so limited.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ordinary shares in a notice served to such shareholders at least fourteen calendar days prior to the specified time and place of payment. The ordinary shares that have been called upon and remain unpaid on the specified time are subject to forfeiture, subject to certain terms and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If at any time the share capital is divided into different classes of shares, all or any of the rights attached to any class of shares may, subject to any rights or restrictions for the time being attached to the shares of that class, be varied either with the unanimous written consent of the holders of the issued shares of that class or with the sanction of a special resolution passed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 shares of that class or the redemption or purchase of any shares of any class by the Company. The rights of the holders of shares shall not be deemed to be varied by the creation or issue of shares with preferred or otherwise rights including, without limitation, the creation of shares with enhanced or weighted voting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register of members or our corporate records (other than a right to receive copies of our memorandum and articles of association, special resolutions passed by our shareholders and our registered of mortgages and charges). However, we will provide our shareholders with annual audited financial statements. Under Cayman Islands law, the names of current directors can be obtained from a search conducted at the Registrar of Companies in the Cayman Islands.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shareholders may from time to time by ordinary resolutions:</w:t>
      </w:r>
    </w:p>
    <w:p>
      <w:pPr>
        <w:spacing w:after="0" w:line="117"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prescribes;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than that fixed by our memorandum of association; provided that in the subdivision the proportion between the amount paid and the amount, if any, unpaid on each reduced share will be the same as it was in case of the share from which the reduced share is derived;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However, no alteration contemplated above, or otherwise, may be made to the par value of the Class A ordinary shares or Class B ordinary shares unless an identical alteration is made to the par value of the Class B ordinary shares and Class A ordinary shares, as the case may be.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Subject to the Companies Act, our shareholders may by special resolution reduce our share capital and any capital redemption reserve in any manner authorized by law.</w:t>
      </w:r>
    </w:p>
    <w:p>
      <w:pPr>
        <w:spacing w:after="0" w:line="162"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Controls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4. Information on the Company—B. Business Overview—Regulation—Regulations Relating to Foreign Exchange.”</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of the Cayman Islands, the PRC and U.S. federal income tax consequences of an investment in the ADSs or Class A ordinary shares is based upon laws and relevant interpretations thereof in effect as of the date of this annual report, all of which are subject to change. This summary does not deal with all possible tax consequences relating to an investment in the ADSs or Class A ordinary shares, such as the tax consequences under state, local and other tax laws, or tax laws of jurisdictions other than the Cayman Islands, the PRC and the United States. To the extent that the discussion relates to matters of Cayman Islands tax law, it represents the opinion of Maples and Calder (Hong Kong) LLP, our Cayman Islands legal counsel. To the extent that the discussion relates to matters of the PRC tax law, it represents the opinion of King &amp; Wood, our PRC legal counsel.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or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corporate tax.</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 Considerations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EIT Law, an enterprise established outside the PRC with a “de facto management body” within the PRC is considered a PRC resident enterprise for PRC enterprise income tax purposes and is generally subject to a uniform 25% enterprise income tax rate on its worldwide income as well as tax reporting obligations. Under the Implementation Rules of the Enterprise Income Tax Law, a “de facto management body” is defined as a body that has material and overall management and control over the manufacturing and business operations, personnel and human resources, finances and properties of an enterprise. In addition, SAT Circular 82 issued in April 2009 specifies that certain offshore-incorporated enterprises controlled by PRC enterprises or PRC enterprise groups will be classified as PRC resident enterprises if all of the following conditions are met: (a) senior management personnel and core management departments in charge of the daily operations of the enterprises have their presence mainly in the PRC; (b) their financial and human resources decisions are subject to determination or approval by persons or bodies in the PRC; (c) major assets, accounting books and company seals of the enterprises, and minutes and files of their board’s and shareholders’ meetings are located or kept in the PRC; and (d) half or more of the enterprises’ directors or senior management personnel with voting rights habitually reside in the PRC. If the PRC tax authorities deem our company or any of our overseas subsidiaries as a PRC resident enterprise for PRC enterprise income tax purposes, a number of unfavorable PRC tax consequences could follow. We or the overseas subsidiaries, as the case may be, would be subject to the PRC enterprise income tax at the rate of 25% on worldwide income. Also, a 10% withholding tax would be imposed on dividends we pay to our non-PRC enterprise shareholders and any gains realized by our non-PRC enterprise shareholders on the transfer of ADS or Class A ordinary shares are also subject to a withholding tax rate of 10%. The withholding tax rate could potentially increase to 20% on dividends we pay to our non-PRC individual shareholders and any gains realized by such non-PRC individual shareholders on the transfer of ADS or Class A ordinary shares. These rates may be reduced by an applicable tax treaty.</w:t>
      </w:r>
    </w:p>
    <w:p>
      <w:pPr>
        <w:spacing w:after="0" w:line="19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SAT issued the Bulletin on Issues of Enterprise Income Tax on Indirect Transfers of Assets by Non-PRC Resident Enterprises, or SAT Bulletin 7, on February 3, 2015, which replaced or supplemented certain previous rules under the circular commonly known as “SAT Circular 698.” Under SAT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SAT Bulletin 7, “PRC taxable assets” include assets attributed to an establishment in China, immoveable properties in China, and equity investment in PRC resident enterprises. In respect of an indirect offshore transfer of assets of a PRC establishment, the relevant gain is to be regarded as effectively connected with the PRC establishment and therefore included in its enterprise income tax filing, and would consequently be subject to PRC enterprise income tax at a rate of 25%. Where the underlying transfer relates to the immoveable properties in China or to equity investment in a PRC resident enterprise, which is not effectively connected to a PRC establishment of a non-resident enterprise, a PRC enterprise income tax at a rate of 10% would apply, subject to available preferential tax treatment under applicable tax treaties or similar arrangements, and the party who is obligated to make the transfer payments has the withholding obligation. It remains to be observed as to the implementation details of SAT Bulletin 7. If SAT Bulletin 7 were determined by the tax authorities to be applicable to some of our transactions involving PRC taxable assets, our offshore subsidiaries conducting the relevant transactions might be required to spend valuable resources to comply with SAT Bulletin 7 or to establish that the relevant transactions should not be taxed under SAT Bulletin 7. See “Item 3. Key Information—D. Risk Factors—Risks Relating to Doing Business in China—We face uncertainty with respect to indirect transfers of equity interests in PRC resident enterprises by their non-PRC holding companies.”</w:t>
      </w:r>
    </w:p>
    <w:p>
      <w:pPr>
        <w:spacing w:after="0" w:line="19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Arrangement between the Chinese Mainland and the Hong Kong Special Administrative Region for the Avoidance of Double Taxation and Tax Evasion on Income, or the Tax Arrangement, where a Hong Kong resident enterprise which is considered a non-PRC tax resident enterprise directly holds at least 25% of a PRC enterprise, the withholding tax rate in respect of the payment of dividends by such PRC enterprise to such Hong Kong resident enterprise is reduced to 5% from a standard rate of 10%. Pursuant to SAT Circular 81,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PRC resident enterprise; and (ii) it should directly own such percentage in the PRC resident enterprise anytime in the 12 months prior to receiving the dividends.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following discussion summarizes the material United States federal income tax consequences to a United States Holder (as defined below), under current law, of an investment in our ADSs or Class A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United States Internal Revenue Service, or the IRS, and other applicable authorities, all as of the date of this annual report.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discussion, moreover, does not address the United States federal estate, gift, Medicare, or alternative minimum tax considerations, or any state, local or non-United States tax considerations, relating to the ownership or disposition of our ADSs or Class A ordinary shares. Except as specifically described below, this discussion does not address any of the consequences of holding our ADSs or Class A ordinary shares through a bank, financial institution or other entity, or a branch thereof, located, organized or resident outside the United States, including withholding taxes or reporting obligations applicable to accounts maintained with non-United States financial institutions (through which a United States Holder may hold our ADSs or Class A ordinary shares), and does not describe any tax consequences arising in respect of the Foreign Account Tax Compliance Act (“FATCA”) regime.</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our ADSs or Class A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68"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use or are required to use a mark-to-market method of accounting;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of the Code;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entities (including private foundations);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United States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hedging, conversion or integrated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total voting power or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Class A ordinary shares pursuant to the exercise of an employee equity grant or otherwise as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persons holding ADSs or Class A ordinary shares through such entities;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our ADSs or Class A ordinary shares as a result of such income being recognized on an applicable financial statement; or</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held, directly, indirectly or by attribution, ADSs or Class A ordinary shares or other ownership interests in us prior to our initial public offering.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3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Class A ordinary shares, the tax treatment of a partner in the partnership generally will depend upon the status of the partner and the activities of the partnership. A partnership or partner in a partnership holding our ADSs or Class A ordinary shares should consult its tax advisors regarding the tax consequences of investing in and holding our ADSs or Class A ordinary shares.</w:t>
      </w:r>
    </w:p>
    <w:p>
      <w:pPr>
        <w:spacing w:after="0" w:line="17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HOLDERS SHOULD CONSULT THEIR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Class A ordinary shares that is, for United States federal income tax purposes:</w:t>
      </w:r>
    </w:p>
    <w:p>
      <w:pPr>
        <w:spacing w:after="0" w:line="54"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(as defined in the Code) have the authority to control all of its substantial decisions or (ii) a valid election is in place under applicable Treasury Regulations to treat such trust as a domestic trust.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you own our ADSs, then you generally should be treated as the owner of the underlying Class A ordinary shares represented by those ADSs for United States federal income tax purposes. Accordingly, deposits or withdrawals of Class A ordinary shares for ADSs generally are not expected to be subject to United States federal income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the market price of our ADSs, the value of our assets and the nature and composition of our income and assets, we do not believe that we were a passive foreign investment company, or PFIC, for United States federal income tax purposes for our taxable year ending December 31, 2024 and December 31, 2025. However, we believe that we were a PFIC for our taxable year ending December 31, 2023.</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determination of PFIC status is based on an annual determination that cannot be made until the close of a taxable year and involves extensive factual investigation, including ascertaining the fair market value of all of our assets on a quarterly basis and the character of each item of income that we earn. Moreover, the application of the PFIC rules is subject to uncertainty in several respects, and we cannot assure you that the United States Internal Revenue Service, or the IRS, will agree with any determination we make. Accordingly, there can be no assurance that we will not be treated as a PFIC for any taxable year or that the IRS will not take a contrary position to any determination we make. We will be a PFIC, for United States federal income tax purposes for any taxable year if, applying applicable look-through rules, either:</w:t>
      </w:r>
    </w:p>
    <w:p>
      <w:pPr>
        <w:spacing w:after="0" w:line="79"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such year is passive income;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(generally determined based on a quarterly average) during such year is attributable to assets that produce or are held for the production of passive income.</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this purpose, passive income generally includes dividends, interest, and certain types of rents and royalties. In addition, cash, cash equivalents, securities held for investment purposes, and certain other similar assets are generally categorized as passive assets. We will be treated as owning a proportionate share of the assets and earning a proportionate share of the income of any other corporation in which we own, directly or indirectly, at least 25% (by value) of the stock.</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unclear, we treat the consolidated VIE and its subsidiaries as being owned by us for United States federal income tax purposes, because we exercise effective control over the operation of these entities and because we are entitled to substantially all of their economic benefits, and, as a result, we consolidate their results of operations in our consolidated U.S. GAAP financial statements. If it were determined, however, that we are not the owner of the consolidated VIE and its subsidiaries for United States federal income tax purposes, the composition of our income and assets would change and we may be more likely to be treated as a PFIC for one or more taxable years.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Changes in the value of our assets and/or the nature and composition of our income or assets may cause us to be or become a PFIC. The determination of whether we will be a PFIC for any taxable year may depend in part upon the value of our goodwill and other unbooked intangibles not reflected on our balance sheet (which may depend upon the market price of our ADSs or Class A ordinary shares from time to time, which may fluctuate significantly) and also may be affected by how, and how quickly, we spend our liquid assets and the cash we generated from our operations and raised in any offering. In estimating the value of our goodwill and other unbooked intangibles, we have taken into account our market capitalization. Among other matters, if our market capitalization declines, we may be more likely to be a PFIC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unbooked intangibles, which may result in our being or becoming a PFIC for one or more taxable years.</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United States Holder that holds our ADSs or Class A ordinary shares in any taxable year in which we are a PFIC will be required to file an annual report containing such information as the United States Treasury Department may require.</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You are strongly encouraged to consult your tax advisors regarding the application of the PFIC rules to an investment in our ADSs or Class A ordinary shares and the availability, application and consequences of the elections discussed below.</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Holders During 2023</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summarizes the consequences for U.S. Holders of our ADSs and Class A ordinary shares during any taxable year during which we are/were treated as a PFIC (as we believe we were for our taxable year ending December 31, 2023). U.S. Holders of our ADSs and Class A ordinary shares during our taxable year ending December 31, 2023 (or any other taxable year during which we are a PFIC) are strongly encouraged to consult their tax advisors regarding the application of the PFIC rules and the availability and consequences of the elections discussed below.</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Deemed Sale Election.</w:t>
      </w:r>
      <w:r>
        <w:rPr>
          <w:rFonts w:ascii="Times New Roman" w:cs="Times New Roman" w:eastAsia="Times New Roman" w:hAnsi="Times New Roman"/>
          <w:sz w:val="18"/>
          <w:szCs w:val="18"/>
          <w:color w:val="auto"/>
        </w:rPr>
        <w:t xml:space="preserve"> As we believe that we were treated as a PFIC for our taxable year ending December 31, 2023, if you held our ADSs or Class A ordinary shares during our taxable year ended December 31, 2023, we generally will continue to be treated as a PFIC with respect to you for all succeeding years during which you hold our ADSs or Class A ordinary shares, unless we were to cease to be a PFIC (as we believe we have for our taxable year ending December 31, 2024 and December 31, 2025) and you make a “deemed sale” election with respect to such ADSs or Class A ordinary shares. If such election is made, you will be deemed to have sold such ADSs or Class A ordinary shares at their fair market value and any gain from such deemed sale would be subject to the rules described in the following two paragraphs. After the deemed sale election, so long as we do not become a PFIC in a subsequent taxable year, such ADSs or Class A ordinary shares with respect to which such election was made will not be treated as shares in a PFIC and, as a result, you will not be subject to the rules described below with respect to any “excess distribution” you receive from us or any gain from a sale or other taxable disposition of our ADSs or Class A ordinary shares. You are strongly urged to consult your tax advisors as to the possibility and consequences of making a deemed sale election if such an election becomes available to you.</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u w:val="single" w:color="auto"/>
          <w:color w:val="auto"/>
        </w:rPr>
        <w:t>Mark-to-Market Election.</w:t>
      </w:r>
      <w:r>
        <w:rPr>
          <w:rFonts w:ascii="Times New Roman" w:cs="Times New Roman" w:eastAsia="Times New Roman" w:hAnsi="Times New Roman"/>
          <w:sz w:val="18"/>
          <w:szCs w:val="18"/>
          <w:color w:val="auto"/>
        </w:rPr>
        <w:t xml:space="preserve"> As we believe that we were a PFIC for our taxable year ending December 31, 2023, if you held our ADSs or Class A ordinary shares during our taxable year ending December 31, 2023 (or any other taxable year during which we are a PFIC), if no “deemed sale” election (as discussed above) has been made, unless you make a “mark-to-market” election (as discussed below), you generally will be subject to special and adverse tax rules with respect to any “excess distribution” that you receive from us and any gain that you recognize from a sale or other disposition, including a pledge, of our ADSs or Class A ordinary shares. For this purpose, distributions that you receive in a taxable year that are greater than 125% of the average annual distributions that you received during the shorter of the three preceding taxable years or your holding period for the ADSs or Class A ordinary shares will be treated as an excess distribution. Under these rules:</w:t>
      </w:r>
    </w:p>
    <w:p>
      <w:pPr>
        <w:spacing w:after="0" w:line="81"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will be allocated ratably over your holding period for the ADSs or Class A ordinary shares;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a PFIC, will be treated as ordinary income;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jc w:val="both"/>
        <w:ind w:left="1020" w:hanging="503"/>
        <w:spacing w:after="0" w:line="266" w:lineRule="auto"/>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we believe that we were a PFIC for our taxable year ending December 31, 2023, if you held our ADSs or Class A ordinary shares during our taxable year ending December 31, 2023 (or any other taxable year during which we are a PFIC), if any of our non-United States subsidiaries that are corporations (or other corporations in which we directly or indirectly own equity interests) is also a PFIC for such taxable year, you would be treated as owning a proportionate amount (by value) of the shares of each such non-United States corporation classified as a PFIC (each such corporation, a lower tier PFIC) for purposes of the application of these rules. You should consult your tax advisors regarding the application of the PFIC rules to any of our lower tier PFICs.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we believe that we were a PFIC for our taxable year ending December 31, 2023, if you held our ADSs or Class A ordinary shares during our taxable year ending December 31, 2023 (or any other taxable year during which we are a PFIC), in lieu of being subject to the tax and interest-charge rules discussed above, you may make an election to include gain on our ADSs or Class A ordinary shares as ordinary income under a mark-to-market method, provided that such ADSs or Class A ordinary shares constitute “marketable stock.” Marketable stock is stock that is regularly traded on a qualified exchange or other market, as defined in applicable Treasury regulations. Our ADSs, but not our ordinary shares, are listed on the Nasdaq, which is a qualified exchange for these purposes. Consequently, as long as our ADSs remain listed on the Nasdaq and are regularly traded, and you are a United States Holder of such ADSs, we expect that the mark-to-market election would be available to you for each taxable year for which we are a PFIC, but no assurances are given in this regard.</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you make a mark-to-market election, it will be effective for the taxable year for which the election is made and all subsequent taxable years unless our ADSs are no longer regularly traded on a qualified exchange or other market, or the IRS consents to the revocation of the election. United States Holders should consult their tax advisors regarding the availability of the mark-to-market election, and whether making the election would be advisable in such United States Holder’s particular circumstances.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if we were a PFIC for any taxable year, a United States Holder that makes a mark-to-market election with respect to our ADSs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QEF Election.</w:t>
      </w:r>
      <w:r>
        <w:rPr>
          <w:rFonts w:ascii="Times New Roman" w:cs="Times New Roman" w:eastAsia="Times New Roman" w:hAnsi="Times New Roman"/>
          <w:sz w:val="18"/>
          <w:szCs w:val="18"/>
          <w:color w:val="auto"/>
        </w:rPr>
        <w:t xml:space="preserve"> In certain circumstances, a shareholder in a PFIC may avoid the adverse tax and interest-charge regime described above by making a “qualified electing fund” election to include in income its share of the PFIC’s income on a current basis. However, if we were a PFIC (as we believe we were for our taxable year ended December 31, 2023), you would be able to make a qualified electing fund election with respect to our ADSs or Class A ordinary shares only if we agreed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United States Holder that holds or has held our ADSs or Class A ordinary shares in any taxable year in which we are or were a PFIC will be required to file an annual report containing such information as the United States Treasury Department may require.</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You are strongly encouraged to consult your tax advisors regarding the application of the PFIC rules to an investment in our ADSs or Class A ordinary shares and the availability, application and consequences of the elections discussed above.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Holders Acquiring ADSs or Class A Ordinary Shares After 2023</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the consequences for U.S. Holders of our ADSs and Class A ordinary shares that acquire their ADSs or Class A ordinary shares in taxable years ending after December 31 2023. As discussed above, we do not believe that we were a PFIC for United States federal income tax purposes for our taxable year ending December 31, 2024 and December 31, 2025. As further discussed above, the determination of PFIC status is based on an annual determination that cannot be made until the close of a taxable year and involves extensive factual investigation, including ascertaining the fair market value of all of our assets on a quarterly basis and the character of each item of income that we earn. Moreover, the application of the PFIC rules is subject to uncertainty in several respects, and we cannot assure you that the IRS will agree with any determination we make. Accordingly, there can be no assurance that we will not be treated as a PFIC in 2024, 2025 or any subsequent taxable year or that the IRS will not take a contrary position to any determination we make. If we are treated as a PFIC in 2024, 2025, or in any subsequent taxable year, the treatment of U.S. Holders of our ADSs and Class A ordinary shares during such taxable years is generally described above under “—Passive Foreign Investment Company—U.S. Holders During 2023.” U.S. Holders of our ADSs and Class A ordinary shares during our taxable years ending December 31, 2024 and/or December 31, 2025 (or any subsequent taxable year) are strongly encouraged to consult their tax</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2" w:name="page143"/>
    <w:bookmarkEnd w:id="142"/>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advisor regarding the application of the PFIC rules and the availability and consequences of the elections discussed above in any taxable year in which we are treated as a PFIC.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 on our ADSs or Class A Ordinary Shares.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above, the gross amount of any distribution that we make to you with respect to our ADSs or Class A ordinary shares (including any amounts withheld to reflect PRC or other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our Class A ordinary shares, or by the depositary, if you own our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(other than a corporation that is a PFIC for the taxable year in which the dividend is paid or the preceding taxable year) generally will be treated as a qualified foreign corporation (i) with respect to dividends paid by that corporation on shares (or American depositary shares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However, a non-United States corporation will not be treated as a qualified foreign corporation if it is a passive foreign investment company in the taxable year in which the dividend is paid or the preceding taxable year. As discussed above under “––Passive Foreign Investment Company––General,” we do not believe that we were a PFIC for United States federal income tax purposes for our taxable year ending December 31, 2024 and December 31, 2025. However, we believe that we were a PFIC for our taxable year ending December 31, 2023.</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American depositary shares representing such shares (such as our ADSs), are considered to be readily tradable on an established securities market in the United States if they are listed on the Nasdaq, as our ADSs are (but not our ordinary shares). Based on existing guidance, it is unclear whether the Class A ordinary shares will be considered to be readily tradable on an established securities market in the United States, because only our ADSs, and not the underlying Class A ordinary shares, are listed on a securities market in the United States. We believe, but we cannot assure you, that dividends we pay, if any, on the Class A ordinary shares that are represented by our ADSs, but not on the ordinary shares that are not so represented, will, subject to applicable limitations, be eligible for the reduced rates of taxation. In addition, if we are treated as a PRC resident enterprise under the PRC tax law (see “Item 10. Additional Information—E. Taxation—People’s Republic of China Tax Considerations”), then we may be eligible for the benefits of the income tax treaty between the United States and the PRC. If we are eligible for such benefits, then dividends that we pay on our Class A ordinary shares, regardless of whether such shares are represented by our ADSs, would be eligible for the reduced rates of taxation, subject to applicable limitations (including ineligibility for reduced rates as a result of our being a PFIC for the taxable year in which the dividend is paid or the preceding taxable year).</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our ADSs or Class A ordinary shares for more than 60 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 This disallowance applies even if the minimum holding period has been met. Non-corporate United States Holders will not be eligible for reduced rates of taxation on any dividends received from us if we are a PFIC in the taxable year in which such dividends are paid or in the preceding taxable year.</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advisors regarding the availability of the lower tax rates applicable to qualified dividend income for any dividends that we pay with respect to our ADSs or Class A ordinary shares, as well as the effect of any change in applicable law after the date of this annual report.</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Subject to certain conditions and limitations (including a minimum holding period requirement), any PRC withholding taxes imposed on dividends paid to you with respect to our ADSs or Class A ordinary shares (at a rate not exceeding the applicable rate provided in the United States–PRC income tax treaty in the case of a United States Holder that is eligible for the benefits of such treaty) generally will be treated as foreign taxes eligible for deduction or credit against your United States federal income tax liability, subject to the various limitations and disallowance rules that apply to foreign tax credits generally. For purposes of calculating the foreign tax credit limitation, dividends paid to you with respect to our ADSs or Class A ordinary shares will be treated as income from sources outside the United States and generally will constitute passive category income. However, Treasury regulations (the “Foreign Tax Credit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Regulations”) impose additional requirements for foreign taxes to be eligible for a foreign tax credit, and there can be no assurance that those requirements will be satisfied. A notice from the Internal Revenue Service indicates that the Internal Revenue Service is considering proposing amendments to the Foreign Tax Credit Regulations and also allows taxpayers to defer the application of many aspects of the Foreign Tax Credit Regulations until further notice.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Instead of claiming a foreign tax credit, United States Holders may be able to deduct any non-U.S. withholding taxes on dividends in computing your taxable income, subject to generally applicable limitations under United States law (including that a United States Holder is not eligible for a deduction for otherwise creditable foreign income taxes paid or accrued in a taxable year if such United States Holder claims a foreign tax credit for any foreign income taxes paid or accrued in the same taxable year). The rules relating to the determination of the foreign tax credit are complex, and you should consult your tax advisors regarding the availability of a foreign tax credit in your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 of our ADSs or Class A Ordinary Shares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You will recognize gain or loss on a sale or exchange of our ADSs or Class A ordinary shares in an amount equal to the difference between the amount realized on the sale or exchange and your adjusted tax basis in our ADSs or Class A ordinary shares. Subject to the discussion under “—Passive Foreign Investment Company—U.S. Holders During 2023” above (which may be applicable to U.S. Holders acquiring our ADSs or Class A ordinary shares after 2023 as described above), such gain or loss generally will be capital gain or loss. Capital gains of a non-corporate United States Holder, including an individual, that has held our ADSs or Class A ordinary shares for more than one year currently may be eligible for reduced tax rates. The deductibility of capital losses is subject to limitations.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gain or loss that you recognize on a disposition of our ADSs or Class A ordinary shares generally will be treated as United States-source income or loss for foreign tax credit limitation purposes. However, if we are treated as a PRC resident enterprise for PRC tax purposes and PRC tax is imposed on gain from the disposition of our ADSs or Class A ordinary shares (see “Item 10. Additional Information—E. Taxation—People’s Republic of China Tax Considerations”), then a United States Holder that is eligible for the benefits of the income tax treaty between the United States and the PRC may elect to treat the gain as PRC-source income for foreign tax credit purposes, subject to certain limitations. If such an election is made, the gain so treated will be treated as a separate class or “basket” of income for foreign tax credit purposes. You should consult your tax advisors regarding the proper treatment of gain or loss, as well as the availability of a foreign tax credit, in your particular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Information reporting to the IRS and backup withholding generally will apply to dividends in respect of our ADSs or Class A ordinary shares, and the proceeds from the sale or exchange of our ADSs or Class A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 information reporting and backup withholding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with Respect to Foreign Financial Assets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United States Holders who are individuals (and certain entities closely held by individuals) generally will be required to report our name, address and such information relating to an interest in our ADSs or Class A ordinary shares as is necessary to identify the class or issue of which our ADSs or Class A ordinary shares are a part. These requirements are subject to exceptions, including an exception for ADSs or Class A ordinary shares held in accounts maintained by certain financial institutions and an exception applicable if the aggregate value of all “specified foreign financial assets” (as defined in the Code) does not exceed US$75,000 at any point during the taxable year or US$50,000 on the last day of the taxable year.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pacing w:after="0" w:line="225" w:lineRule="exact"/>
        <w:rPr>
          <w:sz w:val="20"/>
          <w:szCs w:val="20"/>
          <w:color w:val="auto"/>
        </w:rPr>
      </w:pPr>
    </w:p>
    <w:p>
      <w:pPr>
        <w:ind w:left="520" w:right="8580" w:hanging="512"/>
        <w:spacing w:after="0" w:line="499" w:lineRule="auto"/>
        <w:tabs>
          <w:tab w:leader="none" w:pos="5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Statement by Experts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on Display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furnish Citibank,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Information</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listing of our subsidiaries, see “Item 4. Information on the Company—C. Organizational Structure.”</w:t>
      </w:r>
    </w:p>
    <w:p>
      <w:pPr>
        <w:spacing w:after="0" w:line="225" w:lineRule="exact"/>
        <w:rPr>
          <w:rFonts w:ascii="Times New Roman" w:cs="Times New Roman" w:eastAsia="Times New Roman" w:hAnsi="Times New Roman"/>
          <w:sz w:val="18"/>
          <w:szCs w:val="18"/>
          <w:color w:val="auto"/>
        </w:rPr>
      </w:pPr>
    </w:p>
    <w:p>
      <w:pPr>
        <w:ind w:left="520" w:right="8220" w:hanging="512"/>
        <w:spacing w:after="0" w:line="438" w:lineRule="auto"/>
        <w:tabs>
          <w:tab w:leader="none" w:pos="5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and our expenses are denominated in Renminbi. The functional currency of our company, Jiayin Group Inc. is the U.S. dollar. The functional currency of our subsidiaries in the PRC, the consolidated VIE and its subsidiaries is the Renminbi. We use Renminbi as our reporting currency. Monetary assets and liabilities denominated in currencies other than the functional currency are translated into the functional currency at the rates of exchange ruling at the balance sheet date. Transactions in currencies other than the functional currency during the year are converted into functional currency at the applicable rates of exchange prevailing when the transactions occurred. Transaction gains and losses are recognized in the statements of comprehensive income.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believe that we currently have any significant direct foreign exchange risk and have not used any derivative financial instruments to hedge exposure to such risk. Although in general our exposure to foreign exchange risks should be limited, the value of your investment in our ADSs will be affected by the exchange rate between U.S. dollar and Renminbi because the value of our business is effectively denominated in Renminbi, while our ADSs will be traded in U.S. dollars.</w:t>
      </w:r>
    </w:p>
    <w:p>
      <w:pPr>
        <w:spacing w:after="0" w:line="180" w:lineRule="exact"/>
        <w:rPr>
          <w:sz w:val="20"/>
          <w:szCs w:val="20"/>
          <w:color w:val="auto"/>
        </w:rPr>
      </w:pPr>
    </w:p>
    <w:p>
      <w:pPr>
        <w:jc w:val="both"/>
        <w:ind w:firstLine="508"/>
        <w:spacing w:after="0" w:line="253"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PBOC. Since June 2010, the PRC government has allowed the Renminbi to appreciate slowly against the U.S. dollar, though there have been periods when the Renminbi has depreciated against the U.S. dollar. In particular, on August 11, 2015, the PBOC allowed the Renminbi to depreciate by approximately 2% against the U.S. dollar. Since then, the Renminbi has fluctuated against the U.S. dollar, at times significantly and unpredictably. From August 11, 2015 until the end of 2016, the Renminbi depreciated against the U.S. dollar by approximately 10%. During 2020, the Renminbi appreciated approximately by 6% against the U.S. dollar. During 2021, the Renminbi appreciated approximately by 2% against the U.S. dollar. During 2022, the Renminbi depreciated approximately by 8% against the U.S. dollar. In later 2023, the Renminbi appreciated approximately by 3% against the U.S. dollar and gradually depreciated approximately 2% against the U.S. dollar in early 2024. During 2024, the Renminbi depreciated against the U.S. dollar by approximately 3%. The Renminbi continued to depreciate in the first half of 2025 amid trade-related uncertainties and a widening interest rate differential, before recovering meaningfully in the second half of 2025, ending the year at approximately the same level as the beginning of 2024. It is difficult to predict how market forces or PRC or U.S. government policy may impact the exchange rate between the Renminbi and the U.S. dollar in the future. It is difficult to predict how long the current situation may last and when and how the relationship between the Renminbi and the U.S. dollar may change again.</w:t>
      </w:r>
    </w:p>
    <w:p>
      <w:pPr>
        <w:spacing w:after="0" w:line="190"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been exposed to material risks due to changes in market interest rates, and we have not used any derivative financial instruments to manage our interest risk exposure. However, we cannot provide assurance that we will not be exposed to material risks due to changes in market interest rate in the future.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fluctuation of interest rates may affect the demand for loan services on our platform. For example, a decrease in interest rates may cause potential borrowers to seek lower-priced loans from other channels. A high interest rate environment may lead to an increase in competing investment options and dampen online investors’ desire to invest on our platform. We do not expect that the fluctuation of interest rates will have a material impact on our financial condition. However, we cannot provide assurance that we will not be exposed to material risks due to changes in market interest rate in the future.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invest our cash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jc w:val="both"/>
        <w:ind w:left="520" w:right="9620" w:hanging="512"/>
        <w:spacing w:after="0" w:line="530" w:lineRule="auto"/>
        <w:tabs>
          <w:tab w:leader="none" w:pos="5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520" w:right="9240" w:hanging="512"/>
        <w:spacing w:after="0" w:line="530" w:lineRule="auto"/>
        <w:tabs>
          <w:tab w:leader="none" w:pos="5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520" w:right="9560" w:hanging="512"/>
        <w:spacing w:after="0" w:line="530" w:lineRule="auto"/>
        <w:tabs>
          <w:tab w:leader="none" w:pos="52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Other Securities </w:t>
      </w:r>
      <w:r>
        <w:rPr>
          <w:rFonts w:ascii="Times New Roman" w:cs="Times New Roman" w:eastAsia="Times New Roman" w:hAnsi="Times New Roman"/>
          <w:sz w:val="17"/>
          <w:szCs w:val="17"/>
          <w:color w:val="auto"/>
        </w:rPr>
        <w:t>Not applicable.</w:t>
      </w:r>
    </w:p>
    <w:p>
      <w:pPr>
        <w:ind w:left="520" w:hanging="512"/>
        <w:spacing w:after="0"/>
        <w:tabs>
          <w:tab w:leader="none" w:pos="5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American Depositary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 Our ADS holders May Have to Pay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00" w:type="dxa"/>
            <w:vAlign w:val="bottom"/>
          </w:tcPr>
          <w:p>
            <w:pPr>
              <w:spacing w:after="0"/>
              <w:rPr>
                <w:sz w:val="21"/>
                <w:szCs w:val="21"/>
                <w:color w:val="auto"/>
              </w:rPr>
            </w:pPr>
          </w:p>
        </w:tc>
        <w:tc>
          <w:tcPr>
            <w:tcW w:w="56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30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Issuance of ADSs (e.g., an issuance of ADS upon a deposit of Class A</w:t>
            </w:r>
          </w:p>
        </w:tc>
        <w:tc>
          <w:tcPr>
            <w:tcW w:w="1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U.S. 5¢ per ADS issued</w:t>
            </w:r>
          </w:p>
        </w:tc>
      </w:tr>
      <w:tr>
        <w:trPr>
          <w:trHeight w:val="21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upon a change in the ADS(s)-to-Class A Ordinary</w:t>
            </w: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2"/>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ratio, or for any other reason), excluding ADS issuances as a</w:t>
            </w: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8"/>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result of distributions of Class A ordinary shares</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1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U.S. 5¢ per ADS canceled</w:t>
            </w:r>
          </w:p>
        </w:tc>
      </w:tr>
      <w:tr>
        <w:trPr>
          <w:trHeight w:val="21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deposited property, upon a change in the ADS(s)-to-Class A ordinary</w:t>
            </w: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4"/>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ratio, or for any other reason)</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1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31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100" w:type="dxa"/>
            <w:vAlign w:val="bottom"/>
          </w:tcPr>
          <w:p>
            <w:pPr>
              <w:spacing w:after="0"/>
              <w:rPr>
                <w:sz w:val="24"/>
                <w:szCs w:val="24"/>
                <w:color w:val="auto"/>
              </w:rPr>
            </w:pPr>
          </w:p>
        </w:tc>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 to U.S. 5¢ per ADS held</w:t>
            </w:r>
          </w:p>
        </w:tc>
      </w:tr>
      <w:tr>
        <w:trPr>
          <w:trHeight w:val="234"/>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p>
        </w:tc>
      </w:tr>
    </w:tbl>
    <w:p>
      <w:pPr>
        <w:spacing w:after="0" w:line="103" w:lineRule="exact"/>
        <w:rPr>
          <w:sz w:val="20"/>
          <w:szCs w:val="20"/>
          <w:color w:val="auto"/>
        </w:rPr>
      </w:pPr>
    </w:p>
    <w:p>
      <w:pPr>
        <w:ind w:left="260" w:right="3540" w:hanging="252"/>
        <w:spacing w:after="0" w:line="282" w:lineRule="auto"/>
        <w:tabs>
          <w:tab w:leader="none" w:pos="2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other than ADSs or rights to purchase Up to U.S. 5¢ per ADS held additional ADSs (e.g., upon a spin-off)</w:t>
      </w:r>
    </w:p>
    <w:p>
      <w:pPr>
        <w:sectPr>
          <w:pgSz w:w="11900" w:h="16838" w:orient="portrait"/>
          <w:cols w:equalWidth="0" w:num="1">
            <w:col w:w="11240"/>
          </w:cols>
          <w:pgMar w:left="320" w:top="1440" w:right="339" w:bottom="1440" w:gutter="0" w:footer="0" w:header="0"/>
        </w:sectPr>
      </w:pPr>
    </w:p>
    <w:p>
      <w:pPr>
        <w:spacing w:after="0" w:line="6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ADS Services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U.S. 5¢ per ADS held on the applicable record date(s) established by the depositary bank</w:t>
      </w:r>
    </w:p>
    <w:p>
      <w:pPr>
        <w:spacing w:after="0" w:line="67" w:lineRule="exact"/>
        <w:rPr>
          <w:sz w:val="20"/>
          <w:szCs w:val="20"/>
          <w:color w:val="auto"/>
        </w:rPr>
      </w:pPr>
    </w:p>
    <w:p>
      <w:pPr>
        <w:sectPr>
          <w:pgSz w:w="11900" w:h="16838" w:orient="portrait"/>
          <w:cols w:equalWidth="0" w:num="2">
            <w:col w:w="4960" w:space="720"/>
            <w:col w:w="5560"/>
          </w:cols>
          <w:pgMar w:left="320" w:top="1440" w:right="339" w:bottom="1440" w:gutter="0" w:footer="0" w:header="0"/>
          <w:type w:val="continuous"/>
        </w:sectPr>
      </w:pPr>
    </w:p>
    <w:p>
      <w:pPr>
        <w:jc w:val="both"/>
        <w:ind w:left="260" w:hanging="259"/>
        <w:spacing w:after="0" w:line="266" w:lineRule="auto"/>
        <w:tabs>
          <w:tab w:leader="none" w:pos="240" w:val="left"/>
        </w:tabs>
        <w:rPr>
          <w:sz w:val="20"/>
          <w:szCs w:val="20"/>
          <w:color w:val="auto"/>
        </w:rPr>
      </w:pPr>
      <w:r>
        <w:rPr>
          <w:rFonts w:ascii="Times New Roman" w:cs="Times New Roman" w:eastAsia="Times New Roman" w:hAnsi="Times New Roman"/>
          <w:sz w:val="18"/>
          <w:szCs w:val="18"/>
          <w:color w:val="auto"/>
        </w:rPr>
        <w:t>•</w:t>
        <w:tab/>
        <w:t xml:space="preserve">Registration of ADS Transfers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 5¢ per ADS (or fraction thereof) transferred.</w:t>
      </w:r>
    </w:p>
    <w:p>
      <w:pPr>
        <w:spacing w:after="0" w:line="562" w:lineRule="exact"/>
        <w:rPr>
          <w:sz w:val="20"/>
          <w:szCs w:val="20"/>
          <w:color w:val="auto"/>
        </w:rPr>
      </w:pPr>
    </w:p>
    <w:p>
      <w:pPr>
        <w:sectPr>
          <w:pgSz w:w="11900" w:h="16838" w:orient="portrait"/>
          <w:cols w:equalWidth="0" w:num="2">
            <w:col w:w="5520" w:space="160"/>
            <w:col w:w="5560"/>
          </w:cols>
          <w:pgMar w:left="320" w:top="1440" w:right="339" w:bottom="1440" w:gutter="0" w:footer="0" w:header="0"/>
          <w:type w:val="continuous"/>
        </w:sectPr>
      </w:pPr>
    </w:p>
    <w:p>
      <w:pPr>
        <w:jc w:val="both"/>
        <w:ind w:left="260" w:hanging="259"/>
        <w:spacing w:after="0" w:line="261" w:lineRule="auto"/>
        <w:tabs>
          <w:tab w:leader="none" w:pos="240" w:val="left"/>
        </w:tabs>
        <w:rPr>
          <w:sz w:val="20"/>
          <w:szCs w:val="20"/>
          <w:color w:val="auto"/>
        </w:rPr>
      </w:pPr>
      <w:r>
        <w:rPr>
          <w:rFonts w:ascii="Times New Roman" w:cs="Times New Roman" w:eastAsia="Times New Roman" w:hAnsi="Times New Roman"/>
          <w:sz w:val="18"/>
          <w:szCs w:val="18"/>
          <w:color w:val="auto"/>
        </w:rPr>
        <w:t>•</w:t>
        <w:tab/>
        <w:t xml:space="preserve">Conversion of ADSs of one series for ADSs of another series (e.g., upon conversion of Partial Entitlement ADSs for Full Entitlement ADSs, or upon conversion of Restricted ADSs 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Up to 5¢ per ADS (or fraction thereof) converted.</w:t>
      </w:r>
    </w:p>
    <w:p>
      <w:pPr>
        <w:spacing w:after="0" w:line="904" w:lineRule="exact"/>
        <w:rPr>
          <w:sz w:val="20"/>
          <w:szCs w:val="20"/>
          <w:color w:val="auto"/>
        </w:rPr>
      </w:pPr>
    </w:p>
    <w:p>
      <w:pPr>
        <w:sectPr>
          <w:pgSz w:w="11900" w:h="16838" w:orient="portrait"/>
          <w:cols w:equalWidth="0" w:num="2">
            <w:col w:w="5520" w:space="160"/>
            <w:col w:w="5560"/>
          </w:cols>
          <w:pgMar w:left="320" w:top="1440" w:right="339"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5480" w:right="4760" w:hanging="5472"/>
        <w:spacing w:after="0" w:line="407" w:lineRule="auto"/>
        <w:tabs>
          <w:tab w:leader="none" w:pos="5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7" w:name="page148"/>
    <w:bookmarkEnd w:id="147"/>
    <w:p>
      <w:pPr>
        <w:jc w:val="both"/>
        <w:ind w:left="520" w:hanging="512"/>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bank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bank in the conversion of foreign currency</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bank in connection with compliance with exchange control regulations and other regulatory requirements applicable to Class A ordinary shares, ADSs and ADRs;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bank, the custodian, or any nominee in connection with the ADR program.</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8" w:name="page149"/>
    <w:bookmarkEnd w:id="148"/>
    <w:p>
      <w:pPr>
        <w:ind w:left="52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 for a description of the rights of securities holders, which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under the supervision and with the participation of our chairman of the board of directors, chief executive officer and chief financial officer, our management conducted an assessment of the effectiveness of internal control over financial reporting as of December 31, 2025, based on the criteria established in Internal Control — Integrated Framework (2013), issued by the Committee of Sponsoring Organizations of the Treadway Commission (“COSO”). Based on this assessment, our management determined that our internal control over financial reporting was effective as of December 31, 2025.</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risks and uncertainties related to our internal control, see “Item 3. Key Information—D. Risk Factors—Risks Relating to Our Business and Industry— If we fail to implement and maintain an effective system of internal controls over financial reporting, we may be unable to accurately report our results of operations, meet our reporting obligations or prevent fraud.”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issued an attestation report on our internal control over financial reporting, which is included on page F-4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Yuhchang Hwang and Mr. Meng Rui qualifies as an “audit committee financial expert” within the meaning of the SEC rules and possesses financial sophistication within the meaning of the Listing Rules of the Nasdaq Stock Market. Mr.Yuhchang Hwang and Mr. Meng Rui satisfy the “independence” requirements of Rule 5605(a)(2) of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9" w:name="page150"/>
    <w:bookmarkEnd w:id="149"/>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 Stock Market Rules and meets the independence standards under Rule 10A-3 under the Exchange Act. The audit committee will oversee our accounting and financial reporting processes and the audits of the financial statements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and employees in December 2018. We have posted a copy of our code of business conduct and ethics on our website at https://ir.jiayin-fintech.com/.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0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3220" w:type="dxa"/>
            <w:vAlign w:val="bottom"/>
            <w:gridSpan w:val="2"/>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2080" w:type="dxa"/>
            <w:vAlign w:val="bottom"/>
            <w:tcBorders>
              <w:top w:val="single" w:sz="8" w:color="auto"/>
            </w:tcBorders>
          </w:tcPr>
          <w:p>
            <w:pPr>
              <w:jc w:val="center"/>
              <w:ind w:left="688"/>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20" w:type="dxa"/>
            <w:vAlign w:val="bottom"/>
            <w:tcBorders>
              <w:top w:val="single" w:sz="8" w:color="auto"/>
            </w:tcBorders>
          </w:tcPr>
          <w:p>
            <w:pPr>
              <w:jc w:val="right"/>
              <w:ind w:right="1039"/>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Auditor-related Fee (1)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6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Predecessor auditor</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shd w:val="clear" w:color="auto" w:fill="CFF0FC"/>
          </w:tcPr>
          <w:p>
            <w:pPr>
              <w:spacing w:after="0"/>
              <w:rPr>
                <w:sz w:val="18"/>
                <w:szCs w:val="18"/>
                <w:color w:val="auto"/>
              </w:rPr>
            </w:pPr>
          </w:p>
        </w:tc>
        <w:tc>
          <w:tcPr>
            <w:tcW w:w="2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“Audit related fees” represents the aggregate fees billed for assurance and related services by our principal auditors that are not reported as audit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Deloitte Touche Tohmatsu Certified Public Accountants LLP and its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13, 2022, our board of directors authorized a share repurchase plan under which we may repurchase our ordinary shares with an aggregate value of US$10 million during the 12-month period beginning on June 13, 2022. The share repurchase plan was publicly announced on June 16, 2022. Starting from June 2023, our board of directors approved an extension of the share repurchase plan for a period of 12 months once each year, with the latest extension approved on June 4, 2025. Pursuant to the extended share repurchase plan, the Company may repurchase its ordinary shares through June 12, 2026 with an aggregate value not exceeding the remaining balance under the share repurchase plan. In August 2025, the Board approved an adjustment to the existing share repurchase plan, pursuant to which the aggregate value of ordinary shares authorized for repurchase under the plan through June 12, 2026 shall not exceed US$80 million. As of March 31, 2026, we had repurchased approximately 4.8 million of our ADSs for approximately US$30.4 million under this share repurchase plan.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shares repurchase activity for the periods indicated.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tbl>
      <w:tblPr>
        <w:tblLayout w:type="fixed"/>
        <w:tblInd w:w="58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w:t>
            </w:r>
          </w:p>
        </w:tc>
        <w:tc>
          <w:tcPr>
            <w:tcW w:w="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3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the</w:t>
            </w:r>
          </w:p>
        </w:tc>
        <w:tc>
          <w:tcPr>
            <w:tcW w:w="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ADSs that May</w:t>
            </w:r>
          </w:p>
        </w:tc>
        <w:tc>
          <w:tcPr>
            <w:tcW w:w="0" w:type="dxa"/>
            <w:vAlign w:val="bottom"/>
          </w:tcPr>
          <w:p>
            <w:pPr>
              <w:spacing w:after="0"/>
              <w:rPr>
                <w:sz w:val="1"/>
                <w:szCs w:val="1"/>
                <w:color w:val="auto"/>
              </w:rPr>
            </w:pPr>
          </w:p>
        </w:tc>
      </w:tr>
      <w:tr>
        <w:trPr>
          <w:trHeight w:val="148"/>
        </w:trPr>
        <w:tc>
          <w:tcPr>
            <w:tcW w:w="330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33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320" w:type="dxa"/>
            <w:vAlign w:val="bottom"/>
          </w:tcPr>
          <w:p>
            <w:pPr>
              <w:spacing w:after="0"/>
              <w:rPr>
                <w:sz w:val="15"/>
                <w:szCs w:val="15"/>
                <w:color w:val="auto"/>
              </w:rPr>
            </w:pPr>
          </w:p>
        </w:tc>
        <w:tc>
          <w:tcPr>
            <w:tcW w:w="13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3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2022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225,301</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US$2.1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225,301</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US$29.5million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683,738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683,738</w:t>
            </w:r>
          </w:p>
        </w:tc>
        <w:tc>
          <w:tcPr>
            <w:tcW w:w="3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US$27.9million</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589,553</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US$2.3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589,553</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US$26.5million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2023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339,948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US$6.1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339,948</w:t>
            </w:r>
          </w:p>
        </w:tc>
        <w:tc>
          <w:tcPr>
            <w:tcW w:w="3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US$24.4million</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400,092</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US$4.8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400,092</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US$22.5million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592,422</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592,422</w:t>
            </w:r>
          </w:p>
        </w:tc>
        <w:tc>
          <w:tcPr>
            <w:tcW w:w="3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US$19.4million</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2024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508,788</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US$6.5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508,788</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US$16.1million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205,362</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205,362</w:t>
            </w:r>
          </w:p>
        </w:tc>
        <w:tc>
          <w:tcPr>
            <w:tcW w:w="3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US$15.0million</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287,270</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US$6.5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287,270</w:t>
            </w: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US$13.1million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June 2025</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US$17.0</w:t>
            </w:r>
          </w:p>
        </w:tc>
        <w:tc>
          <w:tcPr>
            <w:tcW w:w="2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40" w:type="dxa"/>
            <w:vAlign w:val="bottom"/>
          </w:tcPr>
          <w:p>
            <w:pPr>
              <w:spacing w:after="0"/>
              <w:rPr>
                <w:sz w:val="18"/>
                <w:szCs w:val="18"/>
                <w:color w:val="auto"/>
              </w:rPr>
            </w:pP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US$49.6million</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4,632,474</w:t>
            </w:r>
          </w:p>
        </w:tc>
        <w:tc>
          <w:tcPr>
            <w:tcW w:w="3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US$6.6</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4,632,474</w:t>
            </w:r>
          </w:p>
        </w:tc>
        <w:tc>
          <w:tcPr>
            <w:tcW w:w="3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other purchases of any class of registered equity securities of the Company by the Company or, to our knowledge, by any affiliated purchaser.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and intend to continue to follow Cayman Islands corporate governance practices in lieu of the corporate governance requirements of Nasdaq that listed companies must have: (i) a majority of the board be independent; (ii) an audit committee of at least three independent directors; (iii) a nominating and corporate governance committee composed entirely of independent directors; and (iv) hold an annual meeting of shareholders no later than one year after the end of our fiscal year. Also, our home country practice does not require us to hold an annual meeting of shareholders no later than one year after the end of its fiscal year and does not require us to seek shareholder approval for amending our share incentive plans. To the extent we choose to follow home country practice in the future, our shareholders may be afforded less protection than they otherwise would enjoy under the Nasdaq corporate governance listing standards applicable to U.S. domestic issuers. See “Item 3. Key Information—D. Risk Factors—Risks Relating to Our American Depositary Shares —We are a foreign private issuer within the meaning of the rules under the Exchange Act, and as such we are exempt from certain provisions applicable to U.S. domestic public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have established insider trading policies and procedures governing the purchase, sale and other dispositions of our securities by our directors, officers, employees and other relevant persons to promote compliance with applicable insider trading laws, rules and regulations, and the listing standards of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51" w:name="page152"/>
    <w:bookmarkEnd w:id="151"/>
    <w:p>
      <w:pPr>
        <w:spacing w:after="0" w:line="3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to ensure the effectiveness of cybersecurity management, strategy, governance, and reporting of cybersecurity risks. We have also integrated cybersecurity risk management into our overall enterprise risk management system.</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We annually engage third-party companies to conduct security testing on important information systems and customer-facing applications. Our cybersecurity department regularly monitors the performance of our mobile applications, platforms and infrastructure to enable us to respond quickly to potential problems, including potential cybersecurity threats.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our board’s supervision, the Group Head of Technology is responsible for overseeing the Company’s cybersecurity risk management and be informed on risks from cybersecurity threats. The Group Head of Technology shall review, approve and maintain oversight of the disclosure (i) on Form 6-K for material cybersecurity incidents (if any) and (ii) related to cybersecurity matters in the periodic reports (including annual report on Form 20-F) of the Company. Our Group Head of Technology has over 18 years of experience as a technology leader in internet and financial services sectors. He is specialized in securing and ensuring compliance of complex technology environments across well-known enterprises. In addition, at the management level, we have established a risk management committee, which consists of nine executives and is chaired by our Chief Risk Officer to oversee and manage cybersecurity related matters and formulate policies as necessary. The chairman and members of the risk management committee have rich working experience in banks and prominent internet companies, bringing valuable expertise in dealing with confidentiality-related cybersecurity issues. Our risk management committee members report to the chairman on a monthly basis regarding its assessment, identification, and management on material risks from cybersecurity threats that occur in the ordinary course of our business operations. If a cybersecurity incident occurs, our risk management committee will promptly organize relevant personnel for internal assessment and, depending on the situation, seek the opinions of external experts and legal advisors. If it is determined that the incident could potentially be a material cybersecurity event, our risk management committee will promptly report the investigation and assessment results to our Chief Risk Officer within 24 hours and our Chief Risk Officer will decide on the relevant response measures and whether any disclosure is necessary. If such disclosure is determined to be necessary, our risk management committee shall promptly prepare disclosure material for review and approval by our Chief Risk Officer before it is disseminated to the public.</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Jiayin Group Inc.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80" w:type="dxa"/>
            <w:vAlign w:val="bottom"/>
            <w:gridSpan w:val="14"/>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80"/>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1.1</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Amended and Restated Memorandum and Articles of Association of the Registrant (incorporated herein by reference to Exhibit 3.2</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to the registration statement on Form F-1 (File No. 333-228896), as amended, initially filed with the Securities and Exchange</w:t>
              </w:r>
            </w:hyperlink>
          </w:p>
        </w:tc>
      </w:tr>
      <w:tr>
        <w:trPr>
          <w:trHeight w:val="196"/>
        </w:trPr>
        <w:tc>
          <w:tcPr>
            <w:tcW w:w="1680" w:type="dxa"/>
            <w:vAlign w:val="bottom"/>
          </w:tcPr>
          <w:p>
            <w:pPr>
              <w:spacing w:after="0"/>
              <w:rPr>
                <w:sz w:val="17"/>
                <w:szCs w:val="17"/>
                <w:color w:val="auto"/>
              </w:rPr>
            </w:pPr>
          </w:p>
        </w:tc>
        <w:tc>
          <w:tcPr>
            <w:tcW w:w="26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Commission on December 19, 2018)</w:t>
              </w:r>
            </w:hyperlink>
          </w:p>
        </w:tc>
        <w:tc>
          <w:tcPr>
            <w:tcW w:w="20" w:type="dxa"/>
            <w:vAlign w:val="bottom"/>
            <w:tcBorders>
              <w:bottom w:val="single" w:sz="8" w:color="0000EE"/>
            </w:tcBorders>
          </w:tcPr>
          <w:p>
            <w:pPr>
              <w:spacing w:after="0"/>
              <w:rPr>
                <w:sz w:val="17"/>
                <w:szCs w:val="17"/>
                <w:color w:val="auto"/>
              </w:rPr>
            </w:pPr>
          </w:p>
        </w:tc>
        <w:tc>
          <w:tcPr>
            <w:tcW w:w="6900" w:type="dxa"/>
            <w:vAlign w:val="bottom"/>
            <w:gridSpan w:val="8"/>
          </w:tcPr>
          <w:p>
            <w:pPr>
              <w:spacing w:after="0"/>
              <w:rPr>
                <w:sz w:val="17"/>
                <w:szCs w:val="17"/>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2.1</w:t>
            </w:r>
          </w:p>
        </w:tc>
        <w:tc>
          <w:tcPr>
            <w:tcW w:w="95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Registrant’s Specimen American Depositary Receipt (incorporated by reference to Exhibit 4.1 of our registration statement</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on Form F-1 (file no. 333-228896), as amended, initially filed with the Securities and Exchange Commission on December 19,</w:t>
              </w:r>
            </w:hyperlink>
          </w:p>
        </w:tc>
      </w:tr>
      <w:tr>
        <w:trPr>
          <w:trHeight w:val="196"/>
        </w:trPr>
        <w:tc>
          <w:tcPr>
            <w:tcW w:w="16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08">
              <w:r>
                <w:rPr>
                  <w:rFonts w:ascii="Times New Roman" w:cs="Times New Roman" w:eastAsia="Times New Roman" w:hAnsi="Times New Roman"/>
                  <w:sz w:val="18"/>
                  <w:szCs w:val="18"/>
                  <w:color w:val="0000FF"/>
                  <w:w w:val="95"/>
                </w:rPr>
                <w:t>2018)</w:t>
              </w:r>
            </w:hyperlink>
          </w:p>
        </w:tc>
        <w:tc>
          <w:tcPr>
            <w:tcW w:w="20" w:type="dxa"/>
            <w:vAlign w:val="bottom"/>
            <w:tcBorders>
              <w:bottom w:val="single" w:sz="8" w:color="0000EE"/>
            </w:tcBorders>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2.2</w:t>
            </w:r>
          </w:p>
        </w:tc>
        <w:tc>
          <w:tcPr>
            <w:tcW w:w="9580" w:type="dxa"/>
            <w:vAlign w:val="bottom"/>
            <w:gridSpan w:val="14"/>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Registrant’s Specimen Certificate for Ordinary Shares (incorporated herein by reference to Exhibit 4.2 to the registration statement</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on Form F-1 (File No. 333-228896), as amended, initially filed with the Securities and Exchange Commission on December 19,</w:t>
              </w:r>
            </w:hyperlink>
          </w:p>
        </w:tc>
      </w:tr>
      <w:tr>
        <w:trPr>
          <w:trHeight w:val="196"/>
        </w:trPr>
        <w:tc>
          <w:tcPr>
            <w:tcW w:w="16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09">
              <w:r>
                <w:rPr>
                  <w:rFonts w:ascii="Times New Roman" w:cs="Times New Roman" w:eastAsia="Times New Roman" w:hAnsi="Times New Roman"/>
                  <w:sz w:val="18"/>
                  <w:szCs w:val="18"/>
                  <w:color w:val="0000FF"/>
                  <w:w w:val="95"/>
                </w:rPr>
                <w:t>2018)</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2.3</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Deposit Agreement among the Registrant, the depositary and holders of the American Depositary Shares (incorporated</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herein by reference to Exhibit (a) to the registration statement on Form F-6 (File No. 333-229579), as amended, initially filed with</w:t>
              </w:r>
            </w:hyperlink>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the SEC on February 8, 2019)</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2.4</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Description of Securities (incorporated by reference to Exhibit 2.4 of our annual report on Form 20-F (File No. 001-38806), filed</w:t>
              </w:r>
            </w:hyperlink>
          </w:p>
        </w:tc>
      </w:tr>
      <w:tr>
        <w:trPr>
          <w:trHeight w:val="196"/>
        </w:trPr>
        <w:tc>
          <w:tcPr>
            <w:tcW w:w="1680" w:type="dxa"/>
            <w:vAlign w:val="bottom"/>
          </w:tcPr>
          <w:p>
            <w:pPr>
              <w:spacing w:after="0"/>
              <w:rPr>
                <w:sz w:val="17"/>
                <w:szCs w:val="17"/>
                <w:color w:val="auto"/>
              </w:rPr>
            </w:pPr>
          </w:p>
        </w:tc>
        <w:tc>
          <w:tcPr>
            <w:tcW w:w="47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with the Securities and Exchange Commission on April 29, 2022)</w:t>
              </w:r>
            </w:hyperlink>
          </w:p>
        </w:tc>
        <w:tc>
          <w:tcPr>
            <w:tcW w:w="4840" w:type="dxa"/>
            <w:vAlign w:val="bottom"/>
            <w:gridSpan w:val="3"/>
          </w:tcPr>
          <w:p>
            <w:pPr>
              <w:spacing w:after="0"/>
              <w:rPr>
                <w:sz w:val="17"/>
                <w:szCs w:val="17"/>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4.1</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2016 Share Incentive Plan (incorporated by reference to Exhibit 10.1 of our registration statement on Form F-1 (file no. 333-</w:t>
              </w:r>
            </w:hyperlink>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228896)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amended, initially filed with the Securities and Exchange Commission on December 19, 2018)</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4.2</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2019 Share Incentive Plan (incorporated by reference to Exhibit 10.1 of our registration statement on Form S-8 (file no. 333-</w:t>
              </w:r>
            </w:hyperlink>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233615)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amended, initially filed with the Securities and Exchange Commission on September 4, 2019)</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40" w:type="dxa"/>
            <w:vAlign w:val="bottom"/>
            <w:tcBorders>
              <w:right w:val="single" w:sz="8" w:color="0000EE"/>
            </w:tcBorders>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4.3</w:t>
            </w:r>
          </w:p>
        </w:tc>
        <w:tc>
          <w:tcPr>
            <w:tcW w:w="95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Form of Indemnification Agreement with the Registrant’s directors and executive officers (incorporated by reference to Exhibit 10.3</w:t>
              </w:r>
            </w:hyperlink>
          </w:p>
        </w:tc>
        <w:tc>
          <w:tcPr>
            <w:tcW w:w="20" w:type="dxa"/>
            <w:vAlign w:val="bottom"/>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of our registration statement on Form F-1 (file no. 333-228896), as amended, initially filed with the Securities and Exchange</w:t>
              </w:r>
            </w:hyperlink>
          </w:p>
        </w:tc>
      </w:tr>
      <w:tr>
        <w:trPr>
          <w:trHeight w:val="196"/>
        </w:trPr>
        <w:tc>
          <w:tcPr>
            <w:tcW w:w="1680" w:type="dxa"/>
            <w:vAlign w:val="bottom"/>
          </w:tcPr>
          <w:p>
            <w:pPr>
              <w:spacing w:after="0"/>
              <w:rPr>
                <w:sz w:val="17"/>
                <w:szCs w:val="17"/>
                <w:color w:val="auto"/>
              </w:rPr>
            </w:pPr>
          </w:p>
        </w:tc>
        <w:tc>
          <w:tcPr>
            <w:tcW w:w="2700" w:type="dxa"/>
            <w:vAlign w:val="bottom"/>
            <w:tcBorders>
              <w:top w:val="single" w:sz="8" w:color="0000FF"/>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Commission on December 19, 2018)</w:t>
              </w:r>
            </w:hyperlink>
          </w:p>
        </w:tc>
        <w:tc>
          <w:tcPr>
            <w:tcW w:w="686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4.4</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Employment Agreement between the Registrant and an executive officer of the Registrant (incorporated by reference to</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Exhibit 10.4 of our registration statement on Form F-1 (file no. 333-228896), as amended, initially filed with the Securities and</w:t>
              </w:r>
            </w:hyperlink>
          </w:p>
        </w:tc>
      </w:tr>
      <w:tr>
        <w:trPr>
          <w:trHeight w:val="196"/>
        </w:trPr>
        <w:tc>
          <w:tcPr>
            <w:tcW w:w="1680" w:type="dxa"/>
            <w:vAlign w:val="bottom"/>
          </w:tcPr>
          <w:p>
            <w:pPr>
              <w:spacing w:after="0"/>
              <w:rPr>
                <w:sz w:val="17"/>
                <w:szCs w:val="17"/>
                <w:color w:val="auto"/>
              </w:rPr>
            </w:pPr>
          </w:p>
        </w:tc>
        <w:tc>
          <w:tcPr>
            <w:tcW w:w="3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Exchange Commission on December 19, 2018)</w:t>
              </w:r>
            </w:hyperlink>
          </w:p>
        </w:tc>
        <w:tc>
          <w:tcPr>
            <w:tcW w:w="6120" w:type="dxa"/>
            <w:vAlign w:val="bottom"/>
            <w:gridSpan w:val="6"/>
          </w:tcPr>
          <w:p>
            <w:pPr>
              <w:spacing w:after="0"/>
              <w:rPr>
                <w:sz w:val="17"/>
                <w:szCs w:val="17"/>
                <w:color w:val="auto"/>
              </w:rPr>
            </w:pPr>
          </w:p>
        </w:tc>
      </w:tr>
      <w:tr>
        <w:trPr>
          <w:trHeight w:val="318"/>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4.5</w:t>
            </w:r>
          </w:p>
        </w:tc>
        <w:tc>
          <w:tcPr>
            <w:tcW w:w="95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Power of Attorney Agreement concerning Shanghai Jiayin Finance Technology Co., Ltd. among Shanghai Kunjia Technology Co.,</w:t>
              </w:r>
            </w:hyperlink>
          </w:p>
        </w:tc>
        <w:tc>
          <w:tcPr>
            <w:tcW w:w="20" w:type="dxa"/>
            <w:vAlign w:val="bottom"/>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Ltd., Dinggui Yan, Guanglin Zhang, Yuanle Wu, Shanghai Jinmushuihuotu Investment Center (Limited Partnership) and Shanghai</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Jiayin Finance Technology Co., Ltd., dated October 15, 2018 (English Translation) (incorporated by reference to Exhibit 10.5 of our</w:t>
              </w:r>
            </w:hyperlink>
          </w:p>
        </w:tc>
      </w:tr>
      <w:tr>
        <w:trPr>
          <w:trHeight w:val="196"/>
        </w:trPr>
        <w:tc>
          <w:tcPr>
            <w:tcW w:w="1680" w:type="dxa"/>
            <w:vAlign w:val="bottom"/>
          </w:tcPr>
          <w:p>
            <w:pPr>
              <w:spacing w:after="0"/>
              <w:rPr>
                <w:sz w:val="17"/>
                <w:szCs w:val="17"/>
                <w:color w:val="auto"/>
              </w:rPr>
            </w:pPr>
          </w:p>
        </w:tc>
        <w:tc>
          <w:tcPr>
            <w:tcW w:w="9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registration statement on Form F-1 (file no. 333-228896), as amended, initially filed with the Securities and Exchange Commission</w:t>
              </w:r>
            </w:hyperlink>
          </w:p>
        </w:tc>
        <w:tc>
          <w:tcPr>
            <w:tcW w:w="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on December 19, 2018)</w:t>
              </w:r>
            </w:hyperlink>
          </w:p>
        </w:tc>
      </w:tr>
      <w:tr>
        <w:trPr>
          <w:trHeight w:val="20"/>
        </w:trPr>
        <w:tc>
          <w:tcPr>
            <w:tcW w:w="1680" w:type="dxa"/>
            <w:vAlign w:val="bottom"/>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4.6</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Equity Pledge Agreement concerning Shanghai Jiayin Finance Technology Co., Ltd. among Shanghai Kunjia Technology Co., Ltd.,</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Dinggui Yan and Shanghai Jiayin Finance Technology Co., Ltd., dated October 15, 2018 (English Translation) (incorporated by</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reference to Exhibit 10.6 of our registration statement on Form F-1 (file no. 333-228896), as amended, initially filed with the</w:t>
              </w:r>
            </w:hyperlink>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Securities and Exchange Commission on December 19, 2018)</w:t>
              </w:r>
            </w:hyperlink>
          </w:p>
        </w:tc>
      </w:tr>
      <w:tr>
        <w:trPr>
          <w:trHeight w:val="20"/>
        </w:trPr>
        <w:tc>
          <w:tcPr>
            <w:tcW w:w="1680" w:type="dxa"/>
            <w:vAlign w:val="bottom"/>
          </w:tcPr>
          <w:p>
            <w:pPr>
              <w:spacing w:after="0" w:line="20" w:lineRule="exact"/>
              <w:rPr>
                <w:sz w:val="1"/>
                <w:szCs w:val="1"/>
                <w:color w:val="auto"/>
              </w:rPr>
            </w:pPr>
          </w:p>
        </w:tc>
        <w:tc>
          <w:tcPr>
            <w:tcW w:w="4480" w:type="dxa"/>
            <w:vAlign w:val="bottom"/>
            <w:tcBorders>
              <w:right w:val="single" w:sz="8" w:color="0000EE"/>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68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4.7</w:t>
            </w:r>
          </w:p>
        </w:tc>
        <w:tc>
          <w:tcPr>
            <w:tcW w:w="95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Equity Pledge Agreement concerning Shanghai Jiayin Finance Technology Co., Ltd. among Shanghai Kunjia Technology Co., Ltd.,</w:t>
              </w:r>
            </w:hyperlink>
          </w:p>
        </w:tc>
      </w:tr>
      <w:tr>
        <w:trPr>
          <w:trHeight w:val="196"/>
        </w:trPr>
        <w:tc>
          <w:tcPr>
            <w:tcW w:w="1680" w:type="dxa"/>
            <w:vAlign w:val="bottom"/>
          </w:tcPr>
          <w:p>
            <w:pPr>
              <w:spacing w:after="0"/>
              <w:rPr>
                <w:sz w:val="17"/>
                <w:szCs w:val="17"/>
                <w:color w:val="auto"/>
              </w:rPr>
            </w:pPr>
          </w:p>
        </w:tc>
        <w:tc>
          <w:tcPr>
            <w:tcW w:w="9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Guanglin Zhang and Shanghai Jiayin Finance Technology Co., Ltd., dated October 15, 2018 (English Translation) (incorporated by</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reference to Exhibit 10.7 of our registration statement on Form F-1 (file no. 333-228896), as amended, initially filed with the</w:t>
              </w:r>
            </w:hyperlink>
          </w:p>
        </w:tc>
      </w:tr>
      <w:tr>
        <w:trPr>
          <w:trHeight w:val="196"/>
        </w:trPr>
        <w:tc>
          <w:tcPr>
            <w:tcW w:w="1680" w:type="dxa"/>
            <w:vAlign w:val="bottom"/>
          </w:tcPr>
          <w:p>
            <w:pPr>
              <w:spacing w:after="0"/>
              <w:rPr>
                <w:sz w:val="17"/>
                <w:szCs w:val="17"/>
                <w:color w:val="auto"/>
              </w:rPr>
            </w:pPr>
          </w:p>
        </w:tc>
        <w:tc>
          <w:tcPr>
            <w:tcW w:w="9580" w:type="dxa"/>
            <w:vAlign w:val="bottom"/>
            <w:gridSpan w:val="14"/>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Securities and Exchange Commission on December 19, 2018)</w:t>
              </w:r>
            </w:hyperlink>
          </w:p>
        </w:tc>
      </w:tr>
      <w:tr>
        <w:trPr>
          <w:trHeight w:val="344"/>
        </w:trPr>
        <w:tc>
          <w:tcPr>
            <w:tcW w:w="1680" w:type="dxa"/>
            <w:vAlign w:val="bottom"/>
          </w:tcPr>
          <w:p>
            <w:pPr>
              <w:spacing w:after="0"/>
              <w:rPr>
                <w:sz w:val="24"/>
                <w:szCs w:val="24"/>
                <w:color w:val="auto"/>
              </w:rPr>
            </w:pPr>
          </w:p>
        </w:tc>
        <w:tc>
          <w:tcPr>
            <w:tcW w:w="4480" w:type="dxa"/>
            <w:vAlign w:val="bottom"/>
            <w:tcBorders>
              <w:top w:val="single" w:sz="8" w:color="0000EE"/>
            </w:tcBorders>
            <w:gridSpan w:val="9"/>
          </w:tcPr>
          <w:p>
            <w:pPr>
              <w:ind w:left="380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600" w:type="dxa"/>
            <w:vAlign w:val="bottom"/>
            <w:gridSpan w:val="11"/>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401"/>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4.8</w:t>
            </w: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Equity Pledge Agreement concerning Shanghai Jiayin Finance Technology Co., Ltd. among Shanghai Kunjia Technology Co., Ltd.,</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Yuanle Wu and Shanghai Jiayin Finance Technology Co., Ltd., dated October 15, 2018 (English Translation) (incorporated by</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reference to Exhibit 10.8 of our registration statement on Form F-1 (file no. 333-228896), as amended, initially filed with the</w:t>
              </w:r>
            </w:hyperlink>
          </w:p>
        </w:tc>
      </w:tr>
      <w:tr>
        <w:trPr>
          <w:trHeight w:val="196"/>
        </w:trPr>
        <w:tc>
          <w:tcPr>
            <w:tcW w:w="168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Securities and Exchange Commission on December 19, 2018)</w:t>
              </w:r>
            </w:hyperlink>
          </w:p>
        </w:tc>
        <w:tc>
          <w:tcPr>
            <w:tcW w:w="5080" w:type="dxa"/>
            <w:vAlign w:val="bottom"/>
            <w:gridSpan w:val="7"/>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4.9</w:t>
            </w: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Equity Pledge Agreement concerning Shanghai Jiayin Finance Technology Co., Ltd. among Shanghai Kunjia Technology Co., Ltd.,</w:t>
              </w:r>
            </w:hyperlink>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Jinmushuihuotu Investment Center (Limited Partnership) and Shanghai Jiayin Finance Technology Co., Ltd., dated October 15,</w:t>
              </w:r>
            </w:hyperlink>
          </w:p>
        </w:tc>
      </w:tr>
      <w:tr>
        <w:trPr>
          <w:trHeight w:val="196"/>
        </w:trPr>
        <w:tc>
          <w:tcPr>
            <w:tcW w:w="1680" w:type="dxa"/>
            <w:vAlign w:val="bottom"/>
          </w:tcPr>
          <w:p>
            <w:pPr>
              <w:spacing w:after="0"/>
              <w:rPr>
                <w:sz w:val="17"/>
                <w:szCs w:val="17"/>
                <w:color w:val="auto"/>
              </w:rPr>
            </w:pPr>
          </w:p>
        </w:tc>
        <w:tc>
          <w:tcPr>
            <w:tcW w:w="9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2018 (English Translation) (incorporated by reference to Exhibit 10.9 of our registration statement on Form F-1 (file no. 333-</w:t>
              </w:r>
            </w:hyperlink>
          </w:p>
        </w:tc>
        <w:tc>
          <w:tcPr>
            <w:tcW w:w="40" w:type="dxa"/>
            <w:vAlign w:val="bottom"/>
            <w:gridSpan w:val="2"/>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7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228896)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as amended, initially filed with the Securities and Exchange Commission on December 19, 2018)</w:t>
              </w:r>
            </w:hyperlink>
          </w:p>
        </w:tc>
        <w:tc>
          <w:tcPr>
            <w:tcW w:w="1860" w:type="dxa"/>
            <w:vAlign w:val="bottom"/>
            <w:gridSpan w:val="6"/>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4.10</w:t>
            </w:r>
          </w:p>
        </w:tc>
        <w:tc>
          <w:tcPr>
            <w:tcW w:w="9600" w:type="dxa"/>
            <w:vAlign w:val="bottom"/>
            <w:gridSpan w:val="11"/>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Exclusive Call Option Agreement concerning Shanghai Jiayin Finance Technology Co., Ltd. among Shanghai Kunjia Technology</w:t>
              </w:r>
            </w:hyperlink>
          </w:p>
        </w:tc>
      </w:tr>
      <w:tr>
        <w:trPr>
          <w:trHeight w:val="20"/>
        </w:trPr>
        <w:tc>
          <w:tcPr>
            <w:tcW w:w="16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52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 Ltd., Dinggui Yan, Guanglin Zhang, Yuanle Wu, Shanghai Jinmushuihuotu Investment Center (Limited Partnership) and</w:t>
              </w:r>
            </w:hyperlink>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Shanghai Jiayin Finance Technology Co., Ltd., dated October 15, 2018 (English Translation) (incorporated by reference to Exhibit</w:t>
              </w:r>
            </w:hyperlink>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of our registration statement on Form F-1 (file no. 333-228896), as amended, initially filed with the Securities and Exchange</w:t>
              </w:r>
            </w:hyperlink>
          </w:p>
        </w:tc>
        <w:tc>
          <w:tcPr>
            <w:tcW w:w="20" w:type="dxa"/>
            <w:vAlign w:val="bottom"/>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Commission on December 19, 2018)</w:t>
              </w:r>
            </w:hyperlink>
          </w:p>
        </w:tc>
        <w:tc>
          <w:tcPr>
            <w:tcW w:w="6900" w:type="dxa"/>
            <w:vAlign w:val="bottom"/>
            <w:gridSpan w:val="9"/>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4.11</w:t>
            </w: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Exclusive Consultation and Service Agreement between Shanghai Jiayin Finance Technology Co., Ltd. and Shanghai Kunjia</w:t>
              </w:r>
            </w:hyperlink>
          </w:p>
        </w:tc>
      </w:tr>
      <w:tr>
        <w:trPr>
          <w:trHeight w:val="196"/>
        </w:trPr>
        <w:tc>
          <w:tcPr>
            <w:tcW w:w="1680" w:type="dxa"/>
            <w:vAlign w:val="bottom"/>
          </w:tcPr>
          <w:p>
            <w:pPr>
              <w:spacing w:after="0"/>
              <w:rPr>
                <w:sz w:val="17"/>
                <w:szCs w:val="17"/>
                <w:color w:val="auto"/>
              </w:rPr>
            </w:pPr>
          </w:p>
        </w:tc>
        <w:tc>
          <w:tcPr>
            <w:tcW w:w="95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Technology Co., Ltd., dated June 29, 2018 (English Translation) (incorporated by reference to Exhibit 10.11 of our registration</w:t>
              </w:r>
            </w:hyperlink>
          </w:p>
        </w:tc>
        <w:tc>
          <w:tcPr>
            <w:tcW w:w="40" w:type="dxa"/>
            <w:vAlign w:val="bottom"/>
            <w:tcBorders>
              <w:bottom w:val="single" w:sz="8" w:color="0000EE"/>
            </w:tcBorders>
            <w:gridSpan w:val="2"/>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statement on Form F-1 (file no. 333-228896), as amended, initially filed with the Securities and Exchange Commission on</w:t>
              </w:r>
            </w:hyperlink>
          </w:p>
        </w:tc>
      </w:tr>
      <w:tr>
        <w:trPr>
          <w:trHeight w:val="196"/>
        </w:trPr>
        <w:tc>
          <w:tcPr>
            <w:tcW w:w="168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December 19, 2018)</w:t>
              </w:r>
            </w:hyperlink>
          </w:p>
        </w:tc>
        <w:tc>
          <w:tcPr>
            <w:tcW w:w="8080" w:type="dxa"/>
            <w:vAlign w:val="bottom"/>
            <w:gridSpan w:val="10"/>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4.12</w:t>
            </w: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Collaboration Agreement between Shanghai Caiyin Asset Management Co., Ltd. and Shanghai Wuxingjia Finance Information</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Services Co., Ltd., dated December 1, 2015 (English Translation) (incorporated by reference to Exhibit 10.12 of our registration</w:t>
              </w:r>
            </w:hyperlink>
          </w:p>
        </w:tc>
        <w:tc>
          <w:tcPr>
            <w:tcW w:w="20" w:type="dxa"/>
            <w:vAlign w:val="bottom"/>
            <w:tcBorders>
              <w:bottom w:val="single" w:sz="8" w:color="0000EE"/>
            </w:tcBorders>
          </w:tcPr>
          <w:p>
            <w:pPr>
              <w:spacing w:after="0"/>
              <w:rPr>
                <w:sz w:val="17"/>
                <w:szCs w:val="17"/>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statement on Form F-1 (file no. 333-228896), as amended, initially filed with the Securities and Exchange Commission on</w:t>
              </w:r>
            </w:hyperlink>
          </w:p>
        </w:tc>
      </w:tr>
      <w:tr>
        <w:trPr>
          <w:trHeight w:val="196"/>
        </w:trPr>
        <w:tc>
          <w:tcPr>
            <w:tcW w:w="168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December 19, 2018)</w:t>
              </w:r>
            </w:hyperlink>
          </w:p>
        </w:tc>
        <w:tc>
          <w:tcPr>
            <w:tcW w:w="8080" w:type="dxa"/>
            <w:vAlign w:val="bottom"/>
            <w:gridSpan w:val="10"/>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4.13</w:t>
            </w: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Equity Transfer Agreement concerning Shanghai Caiyin Asset Management Co., Ltd. among Shanghai Jiayin Finance Services Co.,</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Ltd., Shenzhen Rongxinbao Non-financial Guarantee Co., Ltd. and Shanghai Wuxingjia Finance Information Services Co., Ltd.</w:t>
              </w:r>
            </w:hyperlink>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dated September 16, 2019 (incorporated by reference to Exhibit 99.2 to our Form 6-K (file no. 001-38806), filed with the Securities</w:t>
              </w:r>
            </w:hyperlink>
          </w:p>
        </w:tc>
      </w:tr>
      <w:tr>
        <w:trPr>
          <w:trHeight w:val="196"/>
        </w:trPr>
        <w:tc>
          <w:tcPr>
            <w:tcW w:w="1680" w:type="dxa"/>
            <w:vAlign w:val="bottom"/>
          </w:tcPr>
          <w:p>
            <w:pPr>
              <w:spacing w:after="0"/>
              <w:rPr>
                <w:sz w:val="17"/>
                <w:szCs w:val="17"/>
                <w:color w:val="auto"/>
              </w:rPr>
            </w:pPr>
          </w:p>
        </w:tc>
        <w:tc>
          <w:tcPr>
            <w:tcW w:w="9600" w:type="dxa"/>
            <w:vAlign w:val="bottom"/>
            <w:gridSpan w:val="11"/>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and Exchange Commission on September 16, 2019)</w:t>
              </w:r>
            </w:hyperlink>
          </w:p>
        </w:tc>
      </w:tr>
      <w:tr>
        <w:trPr>
          <w:trHeight w:val="20"/>
        </w:trPr>
        <w:tc>
          <w:tcPr>
            <w:tcW w:w="1680" w:type="dxa"/>
            <w:vAlign w:val="bottom"/>
          </w:tcPr>
          <w:p>
            <w:pPr>
              <w:spacing w:after="0" w:line="20" w:lineRule="exact"/>
              <w:rPr>
                <w:sz w:val="1"/>
                <w:szCs w:val="1"/>
                <w:color w:val="auto"/>
              </w:rPr>
            </w:pPr>
          </w:p>
        </w:tc>
        <w:tc>
          <w:tcPr>
            <w:tcW w:w="3760" w:type="dxa"/>
            <w:vAlign w:val="bottom"/>
            <w:tcBorders>
              <w:right w:val="single" w:sz="8" w:color="0000EE"/>
            </w:tcBorders>
            <w:gridSpan w:val="3"/>
            <w:shd w:val="clear" w:color="auto" w:fill="0000FF"/>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4.14</w:t>
            </w: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Supplementary Agreement to Collaboration Agreement dated December 1, 2015 between Shanghai Caiyin Asset Management Co.,</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Ltd. and Shanghai Wuxingjia Finance Information Services Co., Ltd., dated September 16, 2019 (incorporated by reference to</w:t>
              </w:r>
            </w:hyperlink>
          </w:p>
        </w:tc>
      </w:tr>
      <w:tr>
        <w:trPr>
          <w:trHeight w:val="196"/>
        </w:trPr>
        <w:tc>
          <w:tcPr>
            <w:tcW w:w="1680" w:type="dxa"/>
            <w:vAlign w:val="bottom"/>
          </w:tcPr>
          <w:p>
            <w:pPr>
              <w:spacing w:after="0"/>
              <w:rPr>
                <w:sz w:val="17"/>
                <w:szCs w:val="17"/>
                <w:color w:val="auto"/>
              </w:rPr>
            </w:pPr>
          </w:p>
        </w:tc>
        <w:tc>
          <w:tcPr>
            <w:tcW w:w="92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Exhibit 99.3 to our Form 6-K (file no. 001-38806), filed with the Securities and Exchange Commission on September 16, 2019)</w:t>
              </w:r>
            </w:hyperlink>
          </w:p>
        </w:tc>
        <w:tc>
          <w:tcPr>
            <w:tcW w:w="20" w:type="dxa"/>
            <w:vAlign w:val="bottom"/>
            <w:tcBorders>
              <w:bottom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4.15</w:t>
            </w: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Agreement among Shenzhen Rongxinbao Non-financial Guarantee Co., Ltd., Shanghai Wuxingjia Finance Information Services</w:t>
              </w:r>
            </w:hyperlink>
          </w:p>
        </w:tc>
        <w:tc>
          <w:tcPr>
            <w:tcW w:w="20" w:type="dxa"/>
            <w:vAlign w:val="bottom"/>
            <w:tcBorders>
              <w:bottom w:val="single" w:sz="8" w:color="0000EE"/>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96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Co., Ltd. and Shanghai Jiayin Finance Services Co., Ltd. dated October 16, 2019 (English Translation) (incorporated by reference to</w:t>
              </w:r>
            </w:hyperlink>
          </w:p>
        </w:tc>
      </w:tr>
      <w:tr>
        <w:trPr>
          <w:trHeight w:val="196"/>
        </w:trPr>
        <w:tc>
          <w:tcPr>
            <w:tcW w:w="1680" w:type="dxa"/>
            <w:vAlign w:val="bottom"/>
          </w:tcPr>
          <w:p>
            <w:pPr>
              <w:spacing w:after="0"/>
              <w:rPr>
                <w:sz w:val="17"/>
                <w:szCs w:val="17"/>
                <w:color w:val="auto"/>
              </w:rPr>
            </w:pPr>
          </w:p>
        </w:tc>
        <w:tc>
          <w:tcPr>
            <w:tcW w:w="9600" w:type="dxa"/>
            <w:vAlign w:val="bottom"/>
            <w:gridSpan w:val="11"/>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Exhibit 99.2 to our Form 6-K (file no. 001-38806), filed with the Securities and Exchange Commission on October 24, 2019)</w:t>
              </w:r>
            </w:hyperlink>
          </w:p>
        </w:tc>
      </w:tr>
      <w:tr>
        <w:trPr>
          <w:trHeight w:val="20"/>
        </w:trPr>
        <w:tc>
          <w:tcPr>
            <w:tcW w:w="1680" w:type="dxa"/>
            <w:vAlign w:val="bottom"/>
          </w:tcPr>
          <w:p>
            <w:pPr>
              <w:spacing w:after="0" w:line="20" w:lineRule="exact"/>
              <w:rPr>
                <w:sz w:val="1"/>
                <w:szCs w:val="1"/>
                <w:color w:val="auto"/>
              </w:rPr>
            </w:pPr>
          </w:p>
        </w:tc>
        <w:tc>
          <w:tcPr>
            <w:tcW w:w="9040" w:type="dxa"/>
            <w:vAlign w:val="bottom"/>
            <w:tcBorders>
              <w:right w:val="single" w:sz="8" w:color="0000EE"/>
            </w:tcBorders>
            <w:gridSpan w:val="6"/>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4.16</w:t>
            </w:r>
          </w:p>
        </w:tc>
        <w:tc>
          <w:tcPr>
            <w:tcW w:w="96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Framework Acquisition Agreement among Shanghai Jiayin Finance Technology Co., Ltd., Shanghai Bweenet Network Technology</w:t>
              </w:r>
            </w:hyperlink>
          </w:p>
        </w:tc>
      </w:tr>
      <w:tr>
        <w:trPr>
          <w:trHeight w:val="223"/>
        </w:trPr>
        <w:tc>
          <w:tcPr>
            <w:tcW w:w="1680" w:type="dxa"/>
            <w:vAlign w:val="bottom"/>
          </w:tcPr>
          <w:p>
            <w:pPr>
              <w:spacing w:after="0"/>
              <w:rPr>
                <w:sz w:val="19"/>
                <w:szCs w:val="19"/>
                <w:color w:val="auto"/>
              </w:rPr>
            </w:pPr>
          </w:p>
        </w:tc>
        <w:tc>
          <w:tcPr>
            <w:tcW w:w="9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Co., Ltd., Tang Chuanfa, Liu Ning, Wang Peiqiong, Zhao Wu and Cui Junying dated April 1, 2021 (English Translation)</w:t>
              </w:r>
            </w:hyperlink>
          </w:p>
        </w:tc>
        <w:tc>
          <w:tcPr>
            <w:tcW w:w="20" w:type="dxa"/>
            <w:vAlign w:val="bottom"/>
            <w:tcBorders>
              <w:bottom w:val="single" w:sz="8" w:color="0000EE"/>
            </w:tcBorders>
          </w:tcPr>
          <w:p>
            <w:pPr>
              <w:spacing w:after="0"/>
              <w:rPr>
                <w:sz w:val="19"/>
                <w:szCs w:val="19"/>
                <w:color w:val="auto"/>
              </w:rPr>
            </w:pPr>
          </w:p>
        </w:tc>
      </w:tr>
    </w:tbl>
    <w:p>
      <w:pPr>
        <w:spacing w:after="0" w:line="9" w:lineRule="exact"/>
        <w:rPr>
          <w:sz w:val="20"/>
          <w:szCs w:val="20"/>
          <w:color w:val="auto"/>
        </w:rPr>
      </w:pPr>
    </w:p>
    <w:p>
      <w:pPr>
        <w:ind w:left="1680"/>
        <w:spacing w:after="0" w:line="282" w:lineRule="auto"/>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(incorporated by reference to Exhibit 99.2 to our Form 6-K (file no. 001-38806), filed with the Securities and Exchange</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Commission on April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-185420</wp:posOffset>
            </wp:positionV>
            <wp:extent cx="60648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606488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-48260</wp:posOffset>
            </wp:positionV>
            <wp:extent cx="13995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4.18</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4.19†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spacing w:after="0" w:line="261" w:lineRule="auto"/>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Share Acquisition Framework Agreement among Shenzhen Rongxinbao Non-Financial Guarantee Co., Ltd., Shanghai Jiayin</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Finance Technology Co., Ltd. and Shanghai Bweenet Network Technology Co., Ltd. dated December 29, 2021 (English</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Translation) (incorporated by reference to Exhibit 99.2 to our Form 6-K (file no. 001-38806), filed with the Securities and Exchange</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Commission on January 3,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-448310</wp:posOffset>
            </wp:positionV>
            <wp:extent cx="60693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-311150</wp:posOffset>
            </wp:positionV>
            <wp:extent cx="60674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60674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-173990</wp:posOffset>
            </wp:positionV>
            <wp:extent cx="60686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606869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-36830</wp:posOffset>
            </wp:positionV>
            <wp:extent cx="15138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spacing w:after="0" w:line="257" w:lineRule="auto"/>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Share Acquisition Framework Agreement among Shenzhen Rongxinbao Non-Financial Guarantee Co., Ltd. And Shanghai Jiayin</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Finance Technology Co., Ltd. dated April 4, 2023 (English Translation) (incorporated by reference to Exhibit 4.18 of our annual</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report on Form 20-F (File No. 001-38806), filed with the Securities and Exchange Commission on April 29,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-298450</wp:posOffset>
            </wp:positionV>
            <wp:extent cx="60686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7">
                      <a:extLst>
                        <a:ext uri="{28A0092B-C50C-407E-A947-70E740481C1C}"/>
                      </a:extLst>
                    </a:blip>
                    <a:srcRect/>
                    <a:stretch>
                      <a:fillRect/>
                    </a:stretch>
                  </pic:blipFill>
                  <pic:spPr bwMode="auto">
                    <a:xfrm>
                      <a:off x="0" y="0"/>
                      <a:ext cx="60686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-161290</wp:posOffset>
            </wp:positionV>
            <wp:extent cx="60680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8">
                      <a:extLst>
                        <a:ext uri="{28A0092B-C50C-407E-A947-70E740481C1C}"/>
                      </a:extLst>
                    </a:blip>
                    <a:srcRect/>
                    <a:stretch>
                      <a:fillRect/>
                    </a:stretch>
                  </pic:blipFill>
                  <pic:spPr bwMode="auto">
                    <a:xfrm>
                      <a:off x="0" y="0"/>
                      <a:ext cx="60680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-24130</wp:posOffset>
            </wp:positionV>
            <wp:extent cx="52425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9">
                      <a:extLst>
                        <a:ext uri="{28A0092B-C50C-407E-A947-70E740481C1C}"/>
                      </a:extLst>
                    </a:blip>
                    <a:srcRect/>
                    <a:stretch>
                      <a:fillRect/>
                    </a:stretch>
                  </pic:blipFill>
                  <pic:spPr bwMode="auto">
                    <a:xfrm>
                      <a:off x="0" y="0"/>
                      <a:ext cx="5242560" cy="8890"/>
                    </a:xfrm>
                    <a:prstGeom prst="rect">
                      <a:avLst/>
                    </a:prstGeom>
                    <a:noFill/>
                  </pic:spPr>
                </pic:pic>
              </a:graphicData>
            </a:graphic>
          </wp:anchor>
        </w:drawing>
      </w:r>
    </w:p>
    <w:p>
      <w:pPr>
        <w:jc w:val="both"/>
        <w:spacing w:after="0" w:line="260" w:lineRule="auto"/>
        <w:rPr>
          <w:rFonts w:ascii="Times New Roman" w:cs="Times New Roman" w:eastAsia="Times New Roman" w:hAnsi="Times New Roman"/>
          <w:sz w:val="18"/>
          <w:szCs w:val="18"/>
          <w:u w:val="single" w:color="auto"/>
          <w:color w:val="0000FF"/>
        </w:rPr>
      </w:pPr>
      <w:hyperlink r:id="rId340">
        <w:r>
          <w:rPr>
            <w:rFonts w:ascii="Times New Roman" w:cs="Times New Roman" w:eastAsia="Times New Roman" w:hAnsi="Times New Roman"/>
            <w:sz w:val="18"/>
            <w:szCs w:val="18"/>
            <w:u w:val="single" w:color="auto"/>
            <w:color w:val="0000FF"/>
          </w:rPr>
          <w:t>Property Transfer Agreement among Shanghai Jirongzhicheng Enterprise Development Co., Ltd., Geerong Yunke Information</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Technology Co., Ltd. and the seller, dated December 17, 2024 (English Translation) (incorporated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60655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60655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-35560</wp:posOffset>
            </wp:positionV>
            <wp:extent cx="46672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4667250" cy="8255"/>
                    </a:xfrm>
                    <a:prstGeom prst="rect">
                      <a:avLst/>
                    </a:prstGeom>
                    <a:noFill/>
                  </pic:spPr>
                </pic:pic>
              </a:graphicData>
            </a:graphic>
          </wp:anchor>
        </w:drawing>
      </w:r>
    </w:p>
    <w:p>
      <w:pPr>
        <w:spacing w:after="0" w:line="5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960" w:space="720"/>
            <w:col w:w="9560"/>
          </w:cols>
          <w:pgMar w:left="320" w:top="1237" w:right="3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6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280"/>
        </w:trPr>
        <w:tc>
          <w:tcPr>
            <w:tcW w:w="1680" w:type="dxa"/>
            <w:vAlign w:val="bottom"/>
          </w:tcPr>
          <w:p>
            <w:pPr>
              <w:spacing w:after="0"/>
              <w:rPr>
                <w:sz w:val="24"/>
                <w:szCs w:val="24"/>
                <w:color w:val="auto"/>
              </w:rPr>
            </w:pPr>
          </w:p>
        </w:tc>
        <w:tc>
          <w:tcPr>
            <w:tcW w:w="9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reference to Exhibit 4.19 of our annual report on Form 20-F (File No. 001-38806), filed with the Securities and Exchange</w:t>
              </w:r>
            </w:hyperlink>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3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Commission on April 28, 2025)</w:t>
              </w:r>
            </w:hyperlink>
          </w:p>
        </w:tc>
        <w:tc>
          <w:tcPr>
            <w:tcW w:w="20" w:type="dxa"/>
            <w:vAlign w:val="bottom"/>
            <w:tcBorders>
              <w:bottom w:val="single" w:sz="8" w:color="0000EE"/>
            </w:tcBorders>
          </w:tcPr>
          <w:p>
            <w:pPr>
              <w:spacing w:after="0"/>
              <w:rPr>
                <w:sz w:val="17"/>
                <w:szCs w:val="17"/>
                <w:color w:val="auto"/>
              </w:rPr>
            </w:pPr>
          </w:p>
        </w:tc>
        <w:tc>
          <w:tcPr>
            <w:tcW w:w="72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4.20*†</w:t>
            </w:r>
          </w:p>
        </w:tc>
        <w:tc>
          <w:tcPr>
            <w:tcW w:w="95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Syndicated Loan Contract Among Shanghai Jirong Zhicheng Enterprise Development Co., Ltd., the Lenders and the Agent (English</w:t>
            </w:r>
          </w:p>
        </w:tc>
        <w:tc>
          <w:tcPr>
            <w:tcW w:w="0" w:type="dxa"/>
            <w:vAlign w:val="bottom"/>
          </w:tcPr>
          <w:p>
            <w:pPr>
              <w:spacing w:after="0"/>
              <w:rPr>
                <w:sz w:val="1"/>
                <w:szCs w:val="1"/>
                <w:color w:val="auto"/>
              </w:rPr>
            </w:pPr>
          </w:p>
        </w:tc>
      </w:tr>
      <w:tr>
        <w:trPr>
          <w:trHeight w:val="129"/>
        </w:trPr>
        <w:tc>
          <w:tcPr>
            <w:tcW w:w="1680" w:type="dxa"/>
            <w:vAlign w:val="bottom"/>
            <w:vMerge w:val="continue"/>
          </w:tcPr>
          <w:p>
            <w:pPr>
              <w:spacing w:after="0"/>
              <w:rPr>
                <w:sz w:val="11"/>
                <w:szCs w:val="11"/>
                <w:color w:val="auto"/>
              </w:rPr>
            </w:pPr>
          </w:p>
        </w:tc>
        <w:tc>
          <w:tcPr>
            <w:tcW w:w="9560" w:type="dxa"/>
            <w:vAlign w:val="bottom"/>
            <w:gridSpan w:val="16"/>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Translation)</w:t>
            </w:r>
          </w:p>
        </w:tc>
        <w:tc>
          <w:tcPr>
            <w:tcW w:w="0" w:type="dxa"/>
            <w:vAlign w:val="bottom"/>
          </w:tcPr>
          <w:p>
            <w:pPr>
              <w:spacing w:after="0"/>
              <w:rPr>
                <w:sz w:val="1"/>
                <w:szCs w:val="1"/>
                <w:color w:val="auto"/>
              </w:rPr>
            </w:pPr>
          </w:p>
        </w:tc>
      </w:tr>
      <w:tr>
        <w:trPr>
          <w:trHeight w:val="67"/>
        </w:trPr>
        <w:tc>
          <w:tcPr>
            <w:tcW w:w="1680" w:type="dxa"/>
            <w:vAlign w:val="bottom"/>
          </w:tcPr>
          <w:p>
            <w:pPr>
              <w:spacing w:after="0"/>
              <w:rPr>
                <w:sz w:val="5"/>
                <w:szCs w:val="5"/>
                <w:color w:val="auto"/>
              </w:rPr>
            </w:pPr>
          </w:p>
        </w:tc>
        <w:tc>
          <w:tcPr>
            <w:tcW w:w="956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8.1*</w:t>
            </w:r>
          </w:p>
        </w:tc>
        <w:tc>
          <w:tcPr>
            <w:tcW w:w="9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Principal subsidiaries, variable interest entities and principal affiliated entities held by the variable interest entities of the Registrant</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11.1</w:t>
            </w:r>
          </w:p>
        </w:tc>
        <w:tc>
          <w:tcPr>
            <w:tcW w:w="9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Code of Business Conduct and Ethics of the Registrant (incorporated by reference to Exhibit 99.1 of our registration statement on</w:t>
              </w:r>
            </w:hyperlink>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F-1 (file no. 333-228896), as amended, initially filed with the Securities and Exchange Commission on December 19, 2018)</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11.2*</w:t>
            </w:r>
          </w:p>
        </w:tc>
        <w:tc>
          <w:tcPr>
            <w:tcW w:w="3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Amended and Restated Insider Trading Policy</w:t>
            </w:r>
          </w:p>
        </w:tc>
        <w:tc>
          <w:tcPr>
            <w:tcW w:w="6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12.1*</w:t>
            </w:r>
          </w:p>
        </w:tc>
        <w:tc>
          <w:tcPr>
            <w:tcW w:w="7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Chief Executive Officer Pursuant to Section 302 of the Sarbanes-Oxley Act of 2002</w:t>
            </w:r>
          </w:p>
        </w:tc>
        <w:tc>
          <w:tcPr>
            <w:tcW w:w="2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12.2*</w:t>
            </w:r>
          </w:p>
        </w:tc>
        <w:tc>
          <w:tcPr>
            <w:tcW w:w="7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Section 302 of the Sarbanes-Oxley Act of 2002</w:t>
            </w:r>
          </w:p>
        </w:tc>
        <w:tc>
          <w:tcPr>
            <w:tcW w:w="2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13.1**</w:t>
            </w:r>
          </w:p>
        </w:tc>
        <w:tc>
          <w:tcPr>
            <w:tcW w:w="7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by Chief Executive Officer Pursuant to Section 906 of the Sarbanes-Oxley Act of 2002</w:t>
            </w:r>
          </w:p>
        </w:tc>
        <w:tc>
          <w:tcPr>
            <w:tcW w:w="2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13.2**</w:t>
            </w:r>
          </w:p>
        </w:tc>
        <w:tc>
          <w:tcPr>
            <w:tcW w:w="7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by Chief Financial Officer Pursuant to Section 906 of the Sarbanes-Oxley Act of 2002</w:t>
            </w:r>
          </w:p>
        </w:tc>
        <w:tc>
          <w:tcPr>
            <w:tcW w:w="2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15.1*</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w:t>
            </w:r>
          </w:p>
        </w:tc>
        <w:tc>
          <w:tcPr>
            <w:tcW w:w="0" w:type="dxa"/>
            <w:vAlign w:val="bottom"/>
          </w:tcPr>
          <w:p>
            <w:pPr>
              <w:spacing w:after="0"/>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15.2*</w:t>
            </w:r>
          </w:p>
        </w:tc>
        <w:tc>
          <w:tcPr>
            <w:tcW w:w="35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King &amp; Wood</w:t>
            </w:r>
          </w:p>
        </w:tc>
        <w:tc>
          <w:tcPr>
            <w:tcW w:w="60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15.3*</w:t>
            </w:r>
          </w:p>
        </w:tc>
        <w:tc>
          <w:tcPr>
            <w:tcW w:w="8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Deloitte Touche Tohmatsu Certified Public Accountants LLP, Independent Registered Public Accounting Firm</w:t>
            </w:r>
          </w:p>
        </w:tc>
        <w:tc>
          <w:tcPr>
            <w:tcW w:w="20" w:type="dxa"/>
            <w:vAlign w:val="bottom"/>
            <w:tcBorders>
              <w:bottom w:val="single" w:sz="8" w:color="0000EE"/>
            </w:tcBorders>
          </w:tcPr>
          <w:p>
            <w:pPr>
              <w:spacing w:after="0"/>
              <w:rPr>
                <w:sz w:val="24"/>
                <w:szCs w:val="24"/>
                <w:color w:val="auto"/>
              </w:rPr>
            </w:pPr>
          </w:p>
        </w:tc>
        <w:tc>
          <w:tcPr>
            <w:tcW w:w="7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97.1</w:t>
            </w:r>
          </w:p>
        </w:tc>
        <w:tc>
          <w:tcPr>
            <w:tcW w:w="9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Clawback Policy (incorporated by reference to Exhibit 97.1 of our annual report on Form 20-F (File No. 001-38806), filed with the</w:t>
              </w:r>
            </w:hyperlink>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9560" w:type="dxa"/>
            <w:vAlign w:val="bottom"/>
            <w:gridSpan w:val="16"/>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Securities and Exchange Commission on April 29, 2024)</w:t>
              </w:r>
            </w:hyperlink>
          </w:p>
        </w:tc>
        <w:tc>
          <w:tcPr>
            <w:tcW w:w="0" w:type="dxa"/>
            <w:vAlign w:val="bottom"/>
          </w:tcPr>
          <w:p>
            <w:pPr>
              <w:spacing w:after="0"/>
              <w:rPr>
                <w:sz w:val="1"/>
                <w:szCs w:val="1"/>
                <w:color w:val="auto"/>
              </w:rPr>
            </w:pPr>
          </w:p>
        </w:tc>
      </w:tr>
      <w:tr>
        <w:trPr>
          <w:trHeight w:val="358"/>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101.INS*</w:t>
            </w:r>
          </w:p>
        </w:tc>
        <w:tc>
          <w:tcPr>
            <w:tcW w:w="4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338"/>
        </w:trPr>
        <w:tc>
          <w:tcPr>
            <w:tcW w:w="1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9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4230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with this annual report on Form 20-F.</w:t>
      </w:r>
    </w:p>
    <w:p>
      <w:pPr>
        <w:spacing w:after="0" w:line="117" w:lineRule="exact"/>
        <w:rPr>
          <w:sz w:val="20"/>
          <w:szCs w:val="20"/>
          <w:color w:val="auto"/>
        </w:rPr>
      </w:pPr>
    </w:p>
    <w:p>
      <w:pPr>
        <w:ind w:left="140" w:hanging="132"/>
        <w:spacing w:after="0"/>
        <w:tabs>
          <w:tab w:leader="none" w:pos="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601(b)(10)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155" w:name="page156"/>
    <w:bookmarkEnd w:id="155"/>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Jiayin Group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Dinggui Yan</w:t>
            </w:r>
          </w:p>
        </w:tc>
      </w:tr>
      <w:tr>
        <w:trPr>
          <w:trHeight w:val="67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Dinggui Yan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3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Firm—Deloitte Touche Tohmatsu Certified Public Accountants LLP </w:t>
            </w:r>
            <w:r>
              <w:rPr>
                <w:rFonts w:ascii="Times New Roman" w:cs="Times New Roman" w:eastAsia="Times New Roman" w:hAnsi="Times New Roman"/>
                <w:sz w:val="18"/>
                <w:szCs w:val="18"/>
                <w:color w:val="000000"/>
              </w:rPr>
              <w:t>(PCAOB ID:</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340" w:type="dxa"/>
            <w:vAlign w:val="bottom"/>
            <w:gridSpan w:val="9"/>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1113)</w:t>
            </w:r>
          </w:p>
        </w:tc>
        <w:tc>
          <w:tcPr>
            <w:tcW w:w="1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10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4"/>
        </w:trPr>
        <w:tc>
          <w:tcPr>
            <w:tcW w:w="466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2025</w:t>
            </w:r>
          </w:p>
        </w:tc>
        <w:tc>
          <w:tcPr>
            <w:tcW w:w="20" w:type="dxa"/>
            <w:vAlign w:val="bottom"/>
            <w:tcBorders>
              <w:bottom w:val="single" w:sz="8" w:color="0000EE"/>
            </w:tcBorders>
          </w:tcPr>
          <w:p>
            <w:pPr>
              <w:spacing w:after="0"/>
              <w:rPr>
                <w:sz w:val="16"/>
                <w:szCs w:val="16"/>
                <w:color w:val="auto"/>
              </w:rPr>
            </w:pPr>
          </w:p>
        </w:tc>
        <w:tc>
          <w:tcPr>
            <w:tcW w:w="5660" w:type="dxa"/>
            <w:vAlign w:val="bottom"/>
            <w:gridSpan w:val="6"/>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years ended December 31, 2023, 2024 and 2025</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2023, 2024 and 2025</w:t>
            </w:r>
          </w:p>
        </w:tc>
        <w:tc>
          <w:tcPr>
            <w:tcW w:w="14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2024 and 2025</w:t>
            </w:r>
          </w:p>
        </w:tc>
        <w:tc>
          <w:tcPr>
            <w:tcW w:w="1520" w:type="dxa"/>
            <w:vAlign w:val="bottom"/>
            <w:tcBorders>
              <w:top w:val="single" w:sz="8" w:color="0000FF"/>
            </w:tcBorders>
          </w:tcPr>
          <w:p>
            <w:pPr>
              <w:spacing w:after="0"/>
              <w:rPr>
                <w:sz w:val="17"/>
                <w:szCs w:val="17"/>
                <w:color w:val="auto"/>
              </w:rPr>
            </w:pPr>
          </w:p>
        </w:tc>
        <w:tc>
          <w:tcPr>
            <w:tcW w:w="190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20"/>
        </w:trPr>
        <w:tc>
          <w:tcPr>
            <w:tcW w:w="34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Schedule I—Condensed Financial Information of Parent Company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F-45</w:t>
            </w:r>
          </w:p>
        </w:tc>
        <w:tc>
          <w:tcPr>
            <w:tcW w:w="0" w:type="dxa"/>
            <w:vAlign w:val="bottom"/>
          </w:tcPr>
          <w:p>
            <w:pPr>
              <w:spacing w:after="0"/>
              <w:rPr>
                <w:sz w:val="1"/>
                <w:szCs w:val="1"/>
                <w:color w:val="auto"/>
              </w:rPr>
            </w:pPr>
          </w:p>
        </w:tc>
      </w:tr>
      <w:tr>
        <w:trPr>
          <w:trHeight w:val="669"/>
        </w:trPr>
        <w:tc>
          <w:tcPr>
            <w:tcW w:w="34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52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57" w:name="page158"/>
    <w:bookmarkEnd w:id="157"/>
    <w:p>
      <w:pPr>
        <w:ind w:left="2480"/>
        <w:spacing w:after="0"/>
        <w:rPr>
          <w:sz w:val="20"/>
          <w:szCs w:val="20"/>
          <w:color w:val="auto"/>
        </w:rPr>
      </w:pPr>
      <w:r>
        <w:rPr>
          <w:rFonts w:ascii="Times New Roman" w:cs="Times New Roman" w:eastAsia="Times New Roman" w:hAnsi="Times New Roman"/>
          <w:sz w:val="18"/>
          <w:szCs w:val="18"/>
          <w:b w:val="1"/>
          <w:bCs w:val="1"/>
          <w:color w:val="auto"/>
        </w:rPr>
        <w:t>REPORTS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Jiayin Group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Jiayin Group Inc. and subsidiaries (the "Company") as of December 31, 2024 and 2025, the related consolidated statements of operations and comprehensive income, changes in shareholders' equity, and cash flows, for each of the three years in the period ended December 31, 2025, and the related notes and financial statement schedule (collectively referred to as the "financial statements"). In our opinion, the financial statements present fairly, in all material respects, the financial position of the Company as of December 31, 2024 and 2025,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April 28, 2026, expressed an unqualified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2(g). Such United States dollar amounts are presented solely for the convenience of readers outside the People’s Republic of China.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8" w:name="page159"/>
    <w:bookmarkEnd w:id="158"/>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estimation of expected default rate primarily applied in accounting for guarantee liabilities and guarantee revenues – refer to note 2(k) and 2(q) to the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Critical Audit Matter Description</w:t>
      </w:r>
    </w:p>
    <w:p>
      <w:pPr>
        <w:spacing w:after="0" w:line="2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provides guarantee service for certain loans it facilitates. The Company recognizes a stand-ready guarantee liability for its guarantee exposure at the inception, which is released into guarantee revenue over the term of the guarantee. The Company estimates the fair value of stand-ready guarantee liabilities based on expected default rate of underlying loans subject to guarantee on a pool basis according to the historical delinquency data by vintage, adjusted by specific risk characteristics for borrowers from various channels, and other pertinent information in assessing future performance of the loan portfolio.</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identified the estimation of expected default rate as a critical audit matter because of the significant judgments required by management when developing the estimation. This required a high degree of auditor judgment and an increased extent of effort, including the need to involve our fair value specialists and information technology (IT) specialists when performing audit procedures to evaluate the reasonableness of management’s methodologies and assumptions used in estimation.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firstLine="517"/>
        <w:spacing w:after="0" w:line="282" w:lineRule="auto"/>
        <w:tabs>
          <w:tab w:leader="none" w:pos="6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the controls over estimation of expected default rate, including management’s controls over the historical delinquency data and the adjustments, if any, to the delinquency rate.</w:t>
      </w:r>
    </w:p>
    <w:p>
      <w:pPr>
        <w:spacing w:after="0" w:line="161" w:lineRule="exact"/>
        <w:rPr>
          <w:rFonts w:ascii="Times New Roman" w:cs="Times New Roman" w:eastAsia="Times New Roman" w:hAnsi="Times New Roman"/>
          <w:sz w:val="18"/>
          <w:szCs w:val="18"/>
          <w:color w:val="auto"/>
        </w:rPr>
      </w:pPr>
    </w:p>
    <w:p>
      <w:pPr>
        <w:ind w:firstLine="517"/>
        <w:spacing w:after="0" w:line="282" w:lineRule="auto"/>
        <w:tabs>
          <w:tab w:leader="none" w:pos="6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relevance of the historical delinquency data as an input and, with the assistance of our IT specialists, tested on a sample basis the accuracy of such data by comparing it with original data retrieved from the operating system.</w:t>
      </w:r>
    </w:p>
    <w:p>
      <w:pPr>
        <w:spacing w:after="0" w:line="161" w:lineRule="exact"/>
        <w:rPr>
          <w:rFonts w:ascii="Times New Roman" w:cs="Times New Roman" w:eastAsia="Times New Roman" w:hAnsi="Times New Roman"/>
          <w:sz w:val="18"/>
          <w:szCs w:val="18"/>
          <w:color w:val="auto"/>
        </w:rPr>
      </w:pPr>
    </w:p>
    <w:p>
      <w:pPr>
        <w:ind w:firstLine="517"/>
        <w:spacing w:after="0" w:line="282" w:lineRule="auto"/>
        <w:tabs>
          <w:tab w:leader="none" w:pos="6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internal fair value specialists, we evaluated the reasonableness of the valuation methodology and evaluated the assumptions used in the model for expected default rate.</w:t>
      </w:r>
    </w:p>
    <w:p>
      <w:pPr>
        <w:spacing w:after="0" w:line="161"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observable data close to the report issue date to evaluate whether the assumptions used by management are appropriate.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59" w:name="page160"/>
    <w:bookmarkEnd w:id="159"/>
    <w:p>
      <w:pPr>
        <w:spacing w:after="0" w:line="244" w:lineRule="exact"/>
        <w:rPr>
          <w:sz w:val="20"/>
          <w:szCs w:val="20"/>
          <w:color w:val="auto"/>
        </w:rPr>
      </w:pPr>
    </w:p>
    <w:p>
      <w:pPr>
        <w:ind w:right="2480" w:firstLine="2482"/>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REPORTS OF INDEPENDENT REGISTERED PUBLIC ACCOUNTING FIRM </w:t>
      </w:r>
      <w:r>
        <w:rPr>
          <w:rFonts w:ascii="Times New Roman" w:cs="Times New Roman" w:eastAsia="Times New Roman" w:hAnsi="Times New Roman"/>
          <w:sz w:val="18"/>
          <w:szCs w:val="18"/>
          <w:color w:val="auto"/>
        </w:rPr>
        <w:t>To the Shareholders and the Board of Directors of Jiayin Group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Jiayin Group Inc.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r>
        <w:rPr>
          <w:rFonts w:ascii="Times New Roman" w:cs="Times New Roman" w:eastAsia="Times New Roman" w:hAnsi="Times New Roman"/>
          <w:sz w:val="18"/>
          <w:szCs w:val="18"/>
          <w:i w:val="1"/>
          <w:iCs w:val="1"/>
          <w:color w:val="auto"/>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financial statements as of and for the year ended December 31, 2025 of the Company and our report dated April 28, 2026, expressed an unqualified opinion on those financial statements and included an explanatory paragraph regarding the translation of Renminbi amounts into United States dollar amounts for the convenience of readers outside the People’s Republic of China.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8"/>
          <w:szCs w:val="18"/>
          <w:color w:val="auto"/>
        </w:rPr>
        <w:t>JIAYIN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OF DECEMBER 31,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 or otherwise stated)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1020" w:type="dxa"/>
            <w:vAlign w:val="bottom"/>
            <w:tcBorders>
              <w:bottom w:val="single" w:sz="8" w:color="auto"/>
            </w:tcBorders>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tcBorders>
              <w:bottom w:val="single" w:sz="8" w:color="auto"/>
            </w:tcBorders>
            <w:gridSpan w:val="3"/>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40" w:type="dxa"/>
            <w:vAlign w:val="bottom"/>
          </w:tcPr>
          <w:p>
            <w:pPr>
              <w:spacing w:after="0"/>
              <w:rPr>
                <w:sz w:val="9"/>
                <w:szCs w:val="9"/>
                <w:color w:val="auto"/>
              </w:rPr>
            </w:pPr>
          </w:p>
        </w:tc>
        <w:tc>
          <w:tcPr>
            <w:tcW w:w="1020" w:type="dxa"/>
            <w:vAlign w:val="bottom"/>
          </w:tcPr>
          <w:p>
            <w:pPr>
              <w:jc w:val="center"/>
              <w:ind w:left="520"/>
              <w:spacing w:after="0" w:line="109"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3"/>
          </w:tcPr>
          <w:p>
            <w:pPr>
              <w:jc w:val="right"/>
              <w:ind w:right="1120"/>
              <w:spacing w:after="0" w:line="109" w:lineRule="exact"/>
              <w:rPr>
                <w:sz w:val="20"/>
                <w:szCs w:val="20"/>
                <w:color w:val="auto"/>
              </w:rPr>
            </w:pPr>
            <w:r>
              <w:rPr>
                <w:rFonts w:ascii="Times New Roman" w:cs="Times New Roman" w:eastAsia="Times New Roman" w:hAnsi="Times New Roman"/>
                <w:sz w:val="12"/>
                <w:szCs w:val="12"/>
                <w:b w:val="1"/>
                <w:bCs w:val="1"/>
                <w:color w:val="auto"/>
              </w:rPr>
              <w:t>RMB</w:t>
            </w:r>
          </w:p>
        </w:tc>
        <w:tc>
          <w:tcPr>
            <w:tcW w:w="1320" w:type="dxa"/>
            <w:vAlign w:val="bottom"/>
          </w:tcPr>
          <w:p>
            <w:pPr>
              <w:jc w:val="right"/>
              <w:ind w:right="617"/>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5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(Note 2(g))</w:t>
            </w: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540,523</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61,837</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137,332</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413,601</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59,144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4,411</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301,184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960" w:type="dxa"/>
            <w:vAlign w:val="bottom"/>
            <w:gridSpan w:val="2"/>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Accounts receivable and contract assets, net (net of allowance</w:t>
            </w: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for credit losses of RMB21,200 and RMB23,833 as of</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December 31, 2024 and 2025, respectively)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2,986,755</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3,732,677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533,766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6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3"/>
                <w:szCs w:val="13"/>
                <w:color w:val="auto"/>
              </w:rPr>
              <w:t>Financial assets receivable, net (net of allowance for credit losses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of RMB1,250 and RMB385 as of December 31, 2024 and 2025, respectively)</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293,483</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601,600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60" w:type="dxa"/>
            <w:vAlign w:val="bottom"/>
            <w:gridSpan w:val="2"/>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Prepaid expenses and other current assets, net (net of allowance for</w:t>
            </w: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credit losses of RMB771 and RMB10,849 as of December 31, 2024</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370,128</w:t>
            </w:r>
          </w:p>
        </w:tc>
        <w:tc>
          <w:tcPr>
            <w:tcW w:w="240" w:type="dxa"/>
            <w:vAlign w:val="bottom"/>
            <w:shd w:val="clear" w:color="auto" w:fill="CFF0FC"/>
          </w:tcPr>
          <w:p>
            <w:pPr>
              <w:spacing w:after="0"/>
              <w:rPr>
                <w:sz w:val="11"/>
                <w:szCs w:val="11"/>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1,811,772</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940" w:type="dxa"/>
            <w:vAlign w:val="bottom"/>
            <w:tcBorders>
              <w:bottom w:val="single" w:sz="8" w:color="CFF0FC"/>
            </w:tcBorders>
            <w:shd w:val="clear" w:color="auto" w:fill="CFF0FC"/>
          </w:tcPr>
          <w:p>
            <w:pPr>
              <w:ind w:left="180"/>
              <w:spacing w:after="0" w:line="140" w:lineRule="exact"/>
              <w:rPr>
                <w:sz w:val="20"/>
                <w:szCs w:val="20"/>
                <w:color w:val="auto"/>
              </w:rPr>
            </w:pPr>
            <w:r>
              <w:rPr>
                <w:rFonts w:ascii="Times New Roman" w:cs="Times New Roman" w:eastAsia="Times New Roman" w:hAnsi="Times New Roman"/>
                <w:sz w:val="13"/>
                <w:szCs w:val="13"/>
                <w:color w:val="auto"/>
              </w:rPr>
              <w:t>and 2025, respectively)</w:t>
            </w:r>
          </w:p>
        </w:tc>
        <w:tc>
          <w:tcPr>
            <w:tcW w:w="10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5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94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4,332,632</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6,922,671</w:t>
            </w: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989,930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96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Property and equipment, net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44,397</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1,326,943</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189,750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52,759</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31,195</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Long-term investments, net</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162,267</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302,077</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assets, net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72,405</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96,534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FF0FC"/>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0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745,433</w:t>
            </w:r>
          </w:p>
        </w:tc>
        <w:tc>
          <w:tcPr>
            <w:tcW w:w="240" w:type="dxa"/>
            <w:vAlign w:val="bottom"/>
            <w:tcBorders>
              <w:bottom w:val="single" w:sz="8" w:color="CFF0FC"/>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76,545</w:t>
            </w:r>
          </w:p>
        </w:tc>
        <w:tc>
          <w:tcPr>
            <w:tcW w:w="2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10,945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1,077,261</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1,833,294</w:t>
            </w: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262,156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94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0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5,409,893</w:t>
            </w:r>
          </w:p>
        </w:tc>
        <w:tc>
          <w:tcPr>
            <w:tcW w:w="240" w:type="dxa"/>
            <w:vAlign w:val="bottom"/>
            <w:tcBorders>
              <w:bottom w:val="single" w:sz="8" w:color="CFF0FC"/>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8,755,965</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1,252,086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96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96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3"/>
                <w:szCs w:val="13"/>
                <w:b w:val="1"/>
                <w:bCs w:val="1"/>
                <w:color w:val="auto"/>
              </w:rPr>
              <w:t>Liabilities including amounts of the consolidated VIEs without</w:t>
            </w: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recourse to the Company (Note 2(b)):</w:t>
            </w: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Bank borrowings, current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155,043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guarantee income</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229,503</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458,903</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65,622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Contingent guarantee liabilities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213,644</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617,588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88,314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Payroll and welfare payables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144,065</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210,367</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Amounts due to related parties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89,947</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288,100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41,198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payables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687,034</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1,054,527</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150,795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795,959</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874,630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Borders>
              <w:bottom w:val="single" w:sz="8" w:color="CFF0FC"/>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Lease liabilities, current</w:t>
            </w:r>
          </w:p>
        </w:tc>
        <w:tc>
          <w:tcPr>
            <w:tcW w:w="10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23,444</w:t>
            </w:r>
          </w:p>
        </w:tc>
        <w:tc>
          <w:tcPr>
            <w:tcW w:w="240" w:type="dxa"/>
            <w:vAlign w:val="bottom"/>
            <w:tcBorders>
              <w:bottom w:val="single" w:sz="8" w:color="CFF0FC"/>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25,290</w:t>
            </w:r>
          </w:p>
        </w:tc>
        <w:tc>
          <w:tcPr>
            <w:tcW w:w="2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3,616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94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2,183,596</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3,684,448</w:t>
            </w: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526,869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60" w:type="dxa"/>
            <w:vAlign w:val="bottom"/>
            <w:gridSpan w:val="2"/>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Bank borrowings, non-current</w:t>
            </w:r>
          </w:p>
        </w:tc>
        <w:tc>
          <w:tcPr>
            <w:tcW w:w="82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516,000</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73,787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70,450</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106,912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15,288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Lease liabilities, non-current</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28,233</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4,297</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12,882</w:t>
            </w: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940" w:type="dxa"/>
            <w:vAlign w:val="bottom"/>
            <w:tcBorders>
              <w:bottom w:val="single" w:sz="8" w:color="CFF0FC"/>
            </w:tcBorders>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0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98,683</w:t>
            </w:r>
          </w:p>
        </w:tc>
        <w:tc>
          <w:tcPr>
            <w:tcW w:w="240" w:type="dxa"/>
            <w:vAlign w:val="bottom"/>
            <w:tcBorders>
              <w:bottom w:val="single" w:sz="8" w:color="CFF0FC"/>
            </w:tcBorders>
            <w:shd w:val="clear" w:color="auto" w:fill="CFF0FC"/>
          </w:tcPr>
          <w:p>
            <w:pPr>
              <w:spacing w:after="0"/>
              <w:rPr>
                <w:sz w:val="11"/>
                <w:szCs w:val="11"/>
                <w:color w:val="auto"/>
              </w:rPr>
            </w:pPr>
          </w:p>
        </w:tc>
        <w:tc>
          <w:tcPr>
            <w:tcW w:w="1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640,091</w:t>
            </w:r>
          </w:p>
        </w:tc>
        <w:tc>
          <w:tcPr>
            <w:tcW w:w="2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91,532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2,282,279</w:t>
            </w:r>
          </w:p>
        </w:tc>
        <w:tc>
          <w:tcPr>
            <w:tcW w:w="240" w:type="dxa"/>
            <w:vAlign w:val="bottom"/>
          </w:tcPr>
          <w:p>
            <w:pPr>
              <w:spacing w:after="0"/>
              <w:rPr>
                <w:sz w:val="11"/>
                <w:szCs w:val="11"/>
                <w:color w:val="auto"/>
              </w:rPr>
            </w:pPr>
          </w:p>
        </w:tc>
        <w:tc>
          <w:tcPr>
            <w:tcW w:w="1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4,324,539</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618,401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960" w:type="dxa"/>
            <w:vAlign w:val="bottom"/>
            <w:gridSpan w:val="2"/>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Commitments and Contingencies (Note 16)</w:t>
            </w: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960" w:type="dxa"/>
            <w:vAlign w:val="bottom"/>
            <w:gridSpan w:val="2"/>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Class A ordinary shares* (US$0.000000005 par value; 2,108,100,000</w:t>
            </w: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shares authorized, 108,100,000 shares issued as of December 31,</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2024 and December 31, 2025; 105,478,184 and 101,318,184 shares</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outstanding as of December 31, 2024 and December 31, 2025,</w:t>
            </w: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respectively)</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6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3"/>
                <w:szCs w:val="13"/>
                <w:color w:val="auto"/>
              </w:rPr>
              <w:t>Class B ordinary shares* (US$0.000000005 par value; 116,000,000</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9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shares authorized, 108,000,000 shares issued and outstanding</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as of December 31, 2024 and 2025)</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960" w:type="dxa"/>
            <w:vAlign w:val="bottom"/>
            <w:gridSpan w:val="2"/>
            <w:shd w:val="clear" w:color="auto" w:fill="CFF0FC"/>
          </w:tcPr>
          <w:p>
            <w:pPr>
              <w:ind w:left="100"/>
              <w:spacing w:after="0" w:line="117" w:lineRule="exact"/>
              <w:rPr>
                <w:sz w:val="20"/>
                <w:szCs w:val="20"/>
                <w:color w:val="auto"/>
              </w:rPr>
            </w:pPr>
            <w:r>
              <w:rPr>
                <w:rFonts w:ascii="Times New Roman" w:cs="Times New Roman" w:eastAsia="Times New Roman" w:hAnsi="Times New Roman"/>
                <w:sz w:val="13"/>
                <w:szCs w:val="13"/>
                <w:color w:val="auto"/>
              </w:rPr>
              <w:t>Treasury stock (2,621,816 and 6,781,816 shares as of</w:t>
            </w: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December 31, 2024 and December 31, 2025, respectively)</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(28,889)</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(189,685)</w:t>
            </w:r>
          </w:p>
        </w:tc>
        <w:tc>
          <w:tcPr>
            <w:tcW w:w="2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(27,125)</w:t>
            </w:r>
          </w:p>
        </w:tc>
        <w:tc>
          <w:tcPr>
            <w:tcW w:w="0" w:type="dxa"/>
            <w:vAlign w:val="bottom"/>
          </w:tcPr>
          <w:p>
            <w:pPr>
              <w:spacing w:after="0"/>
              <w:rPr>
                <w:sz w:val="1"/>
                <w:szCs w:val="1"/>
                <w:color w:val="auto"/>
              </w:rPr>
            </w:pPr>
          </w:p>
        </w:tc>
      </w:tr>
      <w:tr>
        <w:trPr>
          <w:trHeight w:val="135"/>
        </w:trPr>
        <w:tc>
          <w:tcPr>
            <w:tcW w:w="6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909,649</w:t>
            </w:r>
          </w:p>
        </w:tc>
        <w:tc>
          <w:tcPr>
            <w:tcW w:w="24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1,131,030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161,735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6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2,241,414</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3,480,788</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497,746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7,099</w:t>
            </w:r>
          </w:p>
        </w:tc>
        <w:tc>
          <w:tcPr>
            <w:tcW w:w="240" w:type="dxa"/>
            <w:vAlign w:val="bottom"/>
          </w:tcPr>
          <w:p>
            <w:pPr>
              <w:spacing w:after="0"/>
              <w:rPr>
                <w:sz w:val="11"/>
                <w:szCs w:val="11"/>
                <w:color w:val="auto"/>
              </w:rPr>
            </w:pPr>
          </w:p>
        </w:tc>
        <w:tc>
          <w:tcPr>
            <w:tcW w:w="15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10,851</w:t>
            </w:r>
          </w:p>
        </w:tc>
        <w:tc>
          <w:tcPr>
            <w:tcW w:w="2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6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Jiayin Group shareholder’s equity</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3,129,273</w:t>
            </w:r>
          </w:p>
        </w:tc>
        <w:tc>
          <w:tcPr>
            <w:tcW w:w="240" w:type="dxa"/>
            <w:vAlign w:val="bottom"/>
            <w:shd w:val="clear" w:color="auto" w:fill="CFF0FC"/>
          </w:tcPr>
          <w:p>
            <w:pPr>
              <w:spacing w:after="0"/>
              <w:rPr>
                <w:sz w:val="11"/>
                <w:szCs w:val="11"/>
                <w:color w:val="auto"/>
              </w:rPr>
            </w:pPr>
          </w:p>
        </w:tc>
        <w:tc>
          <w:tcPr>
            <w:tcW w:w="1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4,432,984</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633,908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Non-controlling interests</w:t>
            </w:r>
          </w:p>
        </w:tc>
        <w:tc>
          <w:tcPr>
            <w:tcW w:w="102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(1,659)</w:t>
            </w:r>
          </w:p>
        </w:tc>
        <w:tc>
          <w:tcPr>
            <w:tcW w:w="1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(1,558)</w:t>
            </w:r>
          </w:p>
        </w:tc>
        <w:tc>
          <w:tcPr>
            <w:tcW w:w="260" w:type="dxa"/>
            <w:vAlign w:val="bottom"/>
          </w:tcPr>
          <w:p>
            <w:pPr>
              <w:spacing w:after="0"/>
              <w:rPr>
                <w:sz w:val="11"/>
                <w:szCs w:val="11"/>
                <w:color w:val="auto"/>
              </w:rPr>
            </w:pPr>
          </w:p>
        </w:tc>
        <w:tc>
          <w:tcPr>
            <w:tcW w:w="14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29"/>
        </w:trPr>
        <w:tc>
          <w:tcPr>
            <w:tcW w:w="59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3,127,614</w:t>
            </w:r>
          </w:p>
        </w:tc>
        <w:tc>
          <w:tcPr>
            <w:tcW w:w="240" w:type="dxa"/>
            <w:vAlign w:val="bottom"/>
            <w:tcBorders>
              <w:bottom w:val="single" w:sz="8" w:color="CFF0FC"/>
            </w:tcBorders>
            <w:shd w:val="clear" w:color="auto" w:fill="CFF0FC"/>
          </w:tcPr>
          <w:p>
            <w:pPr>
              <w:spacing w:after="0"/>
              <w:rPr>
                <w:sz w:val="11"/>
                <w:szCs w:val="11"/>
                <w:color w:val="auto"/>
              </w:rPr>
            </w:pPr>
          </w:p>
        </w:tc>
        <w:tc>
          <w:tcPr>
            <w:tcW w:w="1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4,431,426</w:t>
            </w:r>
          </w:p>
        </w:tc>
        <w:tc>
          <w:tcPr>
            <w:tcW w:w="2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13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633,685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5,409,893</w:t>
            </w:r>
          </w:p>
        </w:tc>
        <w:tc>
          <w:tcPr>
            <w:tcW w:w="240" w:type="dxa"/>
            <w:vAlign w:val="bottom"/>
          </w:tcPr>
          <w:p>
            <w:pPr>
              <w:spacing w:after="0"/>
              <w:rPr>
                <w:sz w:val="11"/>
                <w:szCs w:val="11"/>
                <w:color w:val="auto"/>
              </w:rPr>
            </w:pPr>
          </w:p>
        </w:tc>
        <w:tc>
          <w:tcPr>
            <w:tcW w:w="1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8,755,965</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1,252,086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-4028440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-4028440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-3496945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-3496945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-3308350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-3291205</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-3308350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-3291205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-2339340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-2339340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-1799590</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-1799590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-119380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-119380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less than one thousand is rounded to zero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8"/>
          <w:szCs w:val="18"/>
          <w:color w:val="auto"/>
        </w:rPr>
        <w:t>JIAYIN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 or otherwise stated)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1160" w:type="dxa"/>
            <w:vAlign w:val="bottom"/>
          </w:tcPr>
          <w:p>
            <w:pPr>
              <w:jc w:val="right"/>
              <w:ind w:right="331"/>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39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180" w:type="dxa"/>
            <w:vAlign w:val="bottom"/>
          </w:tcPr>
          <w:p>
            <w:pPr>
              <w:jc w:val="right"/>
              <w:ind w:right="431"/>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94"/>
        </w:trPr>
        <w:tc>
          <w:tcPr>
            <w:tcW w:w="56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revenue (including revenue from related parties of</w:t>
            </w:r>
          </w:p>
        </w:tc>
        <w:tc>
          <w:tcPr>
            <w:tcW w:w="1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nil, RMB31,034 and RMB480 for 2023, 2024</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5,466,873</w:t>
            </w:r>
          </w:p>
        </w:tc>
        <w:tc>
          <w:tcPr>
            <w:tcW w:w="20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5,801,032</w:t>
            </w:r>
          </w:p>
        </w:tc>
        <w:tc>
          <w:tcPr>
            <w:tcW w:w="22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6,222,190</w:t>
            </w:r>
          </w:p>
        </w:tc>
        <w:tc>
          <w:tcPr>
            <w:tcW w:w="2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889,761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and 2025, respectively)</w:t>
            </w:r>
          </w:p>
        </w:tc>
        <w:tc>
          <w:tcPr>
            <w:tcW w:w="11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Facilitation and servicing</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(2,011,553)</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(2,033,511)</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(1,235,767)</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(176,712)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(1,538,913)</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(1,913,868)</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(2,427,979)</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(347,196)</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(214,856)</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(220,993)</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(302,470)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(43,253)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(296,317)</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(372,441)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(427,125)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(61,078)</w:t>
            </w:r>
          </w:p>
        </w:tc>
        <w:tc>
          <w:tcPr>
            <w:tcW w:w="0" w:type="dxa"/>
            <w:vAlign w:val="bottom"/>
          </w:tcPr>
          <w:p>
            <w:pPr>
              <w:spacing w:after="0"/>
              <w:rPr>
                <w:sz w:val="1"/>
                <w:szCs w:val="1"/>
                <w:color w:val="auto"/>
              </w:rPr>
            </w:pPr>
          </w:p>
        </w:tc>
      </w:tr>
      <w:tr>
        <w:trPr>
          <w:trHeight w:val="198"/>
        </w:trPr>
        <w:tc>
          <w:tcPr>
            <w:tcW w:w="5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Allowance for uncollectible receivables, contract assets,</w:t>
            </w: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and others</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(72,764)</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(12,204)</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(31,520)</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(4,134,403)</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(4,553,017)</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(4,424,861)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(632,746)</w:t>
            </w: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1,332,470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1,248,015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1,797,329</w:t>
            </w: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257,015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Gain from de-recognition of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disposal of subsidiaries</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(2,012)</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long-term investments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(91,236)</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(51,923)</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95,426</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67,111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before income taxes and</w:t>
            </w:r>
          </w:p>
        </w:tc>
        <w:tc>
          <w:tcPr>
            <w:tcW w:w="11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share of loss from equity</w:t>
            </w: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method investments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1,547,182</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1,295,368</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1,873,385</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267,891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(247,616)</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(238,900)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(337,652)</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(48,284)</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of loss from equity method investments</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(1,990)</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1,297,576</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1,056,468</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1,535,733</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219,607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Jiayin Group Inc.</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1,297,619</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1,056,478</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1,535,742</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219,608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Diluted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used in calculating net income</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Basic</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213,996,233</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212,433,169</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208,900,211</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208,900,211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213,996,233</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212,433,169</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208,900,211</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208,900,211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1,297,576</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1,056,468</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1,535,733</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219,607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 of nil</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and</w:t>
            </w:r>
          </w:p>
        </w:tc>
        <w:tc>
          <w:tcPr>
            <w:tcW w:w="1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(7,133)</w:t>
            </w:r>
          </w:p>
        </w:tc>
        <w:tc>
          <w:tcPr>
            <w:tcW w:w="150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60" w:type="dxa"/>
            <w:vAlign w:val="bottom"/>
            <w:gridSpan w:val="2"/>
            <w:vMerge w:val="continue"/>
            <w:shd w:val="clear" w:color="auto" w:fill="CFF0FC"/>
          </w:tcPr>
          <w:p>
            <w:pPr>
              <w:spacing w:after="0"/>
              <w:rPr>
                <w:sz w:val="19"/>
                <w:szCs w:val="19"/>
                <w:color w:val="auto"/>
              </w:rPr>
            </w:pPr>
          </w:p>
        </w:tc>
        <w:tc>
          <w:tcPr>
            <w:tcW w:w="1500" w:type="dxa"/>
            <w:vAlign w:val="bottom"/>
            <w:gridSpan w:val="3"/>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1,290,443</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1,053,297</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1,539,595</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220,159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Comprehensive (loss) income attributable to</w:t>
            </w:r>
          </w:p>
        </w:tc>
        <w:tc>
          <w:tcPr>
            <w:tcW w:w="1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7"/>
                <w:szCs w:val="17"/>
                <w:color w:val="auto"/>
              </w:rPr>
            </w:pP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gridSpan w:val="2"/>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62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1,290,542</w:t>
            </w: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vMerge w:val="restart"/>
          </w:tcPr>
          <w:p>
            <w:pPr>
              <w:spacing w:after="0"/>
              <w:rPr>
                <w:sz w:val="16"/>
                <w:szCs w:val="16"/>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1,053,276</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vMerge w:val="restart"/>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1,539,494</w:t>
            </w:r>
          </w:p>
        </w:tc>
        <w:tc>
          <w:tcPr>
            <w:tcW w:w="220" w:type="dxa"/>
            <w:vAlign w:val="bottom"/>
            <w:tcBorders>
              <w:top w:val="single" w:sz="8" w:color="CFF0FC"/>
            </w:tcBorders>
          </w:tcPr>
          <w:p>
            <w:pPr>
              <w:spacing w:after="0"/>
              <w:rPr>
                <w:sz w:val="16"/>
                <w:szCs w:val="16"/>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220,145</w:t>
            </w: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Jiayin Group Inc.</w:t>
            </w:r>
          </w:p>
        </w:tc>
        <w:tc>
          <w:tcPr>
            <w:tcW w:w="11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-5280025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-5280025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-5280025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-5280025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-2647950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-2647950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-2647950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-2647950</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-2365375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-2365375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-2365375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-694055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-694055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-694055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-694055</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-282575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-282575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-282575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18"/>
          <w:szCs w:val="18"/>
          <w:color w:val="auto"/>
        </w:rPr>
        <w:t>JIAYIN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YEARS ENDED DECEMBER 31, 2023, 2024 AND 2025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 or otherwise stated)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20" w:type="dxa"/>
            <w:vAlign w:val="bottom"/>
            <w:gridSpan w:val="2"/>
            <w:vMerge w:val="restart"/>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Issued Class A</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vMerge w:val="restart"/>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Issued Class B</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1020" w:type="dxa"/>
            <w:vAlign w:val="bottom"/>
            <w:gridSpan w:val="2"/>
            <w:vMerge w:val="restart"/>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2"/>
            <w:vMerge w:val="restart"/>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vMerge w:val="restart"/>
          </w:tcPr>
          <w:p>
            <w:pPr>
              <w:jc w:val="center"/>
              <w:ind w:left="426"/>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118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Total shareholder's</w:t>
            </w: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9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400" w:type="dxa"/>
            <w:vAlign w:val="bottom"/>
          </w:tcPr>
          <w:p>
            <w:pPr>
              <w:spacing w:after="0"/>
              <w:rPr>
                <w:sz w:val="6"/>
                <w:szCs w:val="6"/>
                <w:color w:val="auto"/>
              </w:rPr>
            </w:pPr>
          </w:p>
        </w:tc>
        <w:tc>
          <w:tcPr>
            <w:tcW w:w="1020" w:type="dxa"/>
            <w:vAlign w:val="bottom"/>
            <w:gridSpan w:val="2"/>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gridSpan w:val="2"/>
            <w:vMerge w:val="restart"/>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gridSpan w:val="3"/>
            <w:vMerge w:val="restart"/>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w w:val="97"/>
              </w:rPr>
              <w:t>stock</w:t>
            </w: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earnings</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(Loss) Income</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interests</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63"/>
        </w:trPr>
        <w:tc>
          <w:tcPr>
            <w:tcW w:w="14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400" w:type="dxa"/>
            <w:vAlign w:val="bottom"/>
          </w:tcPr>
          <w:p>
            <w:pPr>
              <w:spacing w:after="0"/>
              <w:rPr>
                <w:sz w:val="10"/>
                <w:szCs w:val="10"/>
                <w:color w:val="auto"/>
              </w:rPr>
            </w:pPr>
          </w:p>
        </w:tc>
        <w:tc>
          <w:tcPr>
            <w:tcW w:w="1020" w:type="dxa"/>
            <w:vAlign w:val="bottom"/>
            <w:tcBorders>
              <w:top w:val="single" w:sz="8" w:color="auto"/>
            </w:tcBorders>
            <w:gridSpan w:val="2"/>
          </w:tcPr>
          <w:p>
            <w:pPr>
              <w:ind w:left="200"/>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6"/>
              </w:rPr>
              <w:t>RMB*</w:t>
            </w:r>
          </w:p>
        </w:tc>
        <w:tc>
          <w:tcPr>
            <w:tcW w:w="220" w:type="dxa"/>
            <w:vAlign w:val="bottom"/>
          </w:tcPr>
          <w:p>
            <w:pPr>
              <w:spacing w:after="0"/>
              <w:rPr>
                <w:sz w:val="10"/>
                <w:szCs w:val="10"/>
                <w:color w:val="auto"/>
              </w:rPr>
            </w:pPr>
          </w:p>
        </w:tc>
        <w:tc>
          <w:tcPr>
            <w:tcW w:w="1040" w:type="dxa"/>
            <w:vAlign w:val="bottom"/>
            <w:tcBorders>
              <w:top w:val="single" w:sz="8" w:color="auto"/>
            </w:tcBorders>
            <w:gridSpan w:val="2"/>
          </w:tcPr>
          <w:p>
            <w:pPr>
              <w:ind w:left="220"/>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89"/>
              </w:rPr>
              <w:t>RMB*</w:t>
            </w:r>
          </w:p>
        </w:tc>
        <w:tc>
          <w:tcPr>
            <w:tcW w:w="220" w:type="dxa"/>
            <w:vAlign w:val="bottom"/>
          </w:tcPr>
          <w:p>
            <w:pPr>
              <w:spacing w:after="0"/>
              <w:rPr>
                <w:sz w:val="10"/>
                <w:szCs w:val="10"/>
                <w:color w:val="auto"/>
              </w:rPr>
            </w:pPr>
          </w:p>
        </w:tc>
        <w:tc>
          <w:tcPr>
            <w:tcW w:w="1040" w:type="dxa"/>
            <w:vAlign w:val="bottom"/>
            <w:tcBorders>
              <w:top w:val="single" w:sz="8" w:color="auto"/>
            </w:tcBorders>
            <w:gridSpan w:val="3"/>
          </w:tcPr>
          <w:p>
            <w:pPr>
              <w:ind w:left="140"/>
              <w:spacing w:after="0" w:line="115" w:lineRule="exact"/>
              <w:rPr>
                <w:sz w:val="20"/>
                <w:szCs w:val="20"/>
                <w:color w:val="auto"/>
              </w:rPr>
            </w:pPr>
            <w:r>
              <w:rPr>
                <w:rFonts w:ascii="Times New Roman" w:cs="Times New Roman" w:eastAsia="Times New Roman" w:hAnsi="Times New Roman"/>
                <w:sz w:val="11"/>
                <w:szCs w:val="11"/>
                <w:b w:val="1"/>
                <w:bCs w:val="1"/>
                <w:color w:val="auto"/>
              </w:rPr>
              <w:t>Number</w:t>
            </w:r>
          </w:p>
        </w:tc>
        <w:tc>
          <w:tcPr>
            <w:tcW w:w="520" w:type="dxa"/>
            <w:vAlign w:val="bottom"/>
            <w:tcBorders>
              <w:top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2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0"/>
                <w:szCs w:val="10"/>
                <w:color w:val="auto"/>
              </w:rPr>
            </w:pPr>
          </w:p>
        </w:tc>
        <w:tc>
          <w:tcPr>
            <w:tcW w:w="10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0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January 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108,100,000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108,000,000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(2,372,596)</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(9,262)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870,562</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384,896</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(3,112)</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(1,581)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1,241,503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3"/>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1,297,619</w:t>
            </w:r>
          </w:p>
        </w:tc>
        <w:tc>
          <w:tcPr>
            <w:tcW w:w="20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1,297,576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Dividend to</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(156,674)</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(156,674)</w:t>
            </w: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of</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ordinary shares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(5,329,848)</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(50,438)</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(50,438)</w:t>
            </w: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Share-based</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compensation</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54,353</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54,353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share</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options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660,950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4,301</w:t>
            </w:r>
          </w:p>
        </w:tc>
        <w:tc>
          <w:tcPr>
            <w:tcW w:w="22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(3,027)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Vest of Restricted</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Share Units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3,071,438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19,956</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(19,956)</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(7,077)</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(56)</w:t>
            </w: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(7,133)</w:t>
            </w:r>
          </w:p>
        </w:tc>
        <w:tc>
          <w:tcPr>
            <w:tcW w:w="0" w:type="dxa"/>
            <w:vAlign w:val="bottom"/>
          </w:tcPr>
          <w:p>
            <w:pPr>
              <w:spacing w:after="0"/>
              <w:rPr>
                <w:sz w:val="1"/>
                <w:szCs w:val="1"/>
                <w:color w:val="auto"/>
              </w:rPr>
            </w:pPr>
          </w:p>
        </w:tc>
      </w:tr>
      <w:tr>
        <w:trPr>
          <w:trHeight w:val="122"/>
        </w:trPr>
        <w:tc>
          <w:tcPr>
            <w:tcW w:w="14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adjustments</w:t>
            </w:r>
          </w:p>
        </w:tc>
        <w:tc>
          <w:tcPr>
            <w:tcW w:w="102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0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0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4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8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108,100,000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108,000,000</w:t>
            </w: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(3,970,056)</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(35,443)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901,932</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1,525,841</w:t>
            </w:r>
          </w:p>
        </w:tc>
        <w:tc>
          <w:tcPr>
            <w:tcW w:w="2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(10,189)</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(1,680)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2,380,461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40" w:type="dxa"/>
            <w:vAlign w:val="bottom"/>
            <w:gridSpan w:val="3"/>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1,056,478</w:t>
            </w:r>
          </w:p>
        </w:tc>
        <w:tc>
          <w:tcPr>
            <w:tcW w:w="200" w:type="dxa"/>
            <w:vAlign w:val="bottom"/>
          </w:tcPr>
          <w:p>
            <w:pPr>
              <w:spacing w:after="0"/>
              <w:rPr>
                <w:sz w:val="10"/>
                <w:szCs w:val="10"/>
                <w:color w:val="auto"/>
              </w:rPr>
            </w:pPr>
          </w:p>
        </w:tc>
        <w:tc>
          <w:tcPr>
            <w:tcW w:w="10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w:t>
            </w:r>
          </w:p>
        </w:tc>
        <w:tc>
          <w:tcPr>
            <w:tcW w:w="10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1,056,468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Dividend to</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(340,905)</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(340,905)</w:t>
            </w: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of</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ordinary shares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(4,005,680)</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(45,020)</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(45,020)</w:t>
            </w: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Share-based</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compensation</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59,122</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59,122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Exercise of share</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options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193,920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w:t>
            </w:r>
          </w:p>
        </w:tc>
        <w:tc>
          <w:tcPr>
            <w:tcW w:w="22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(1,562)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Vest of Restricted</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Share Units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5,160,000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49,843</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(49,843)</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De-consolidation of</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subsidiaries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20,490</w:t>
            </w:r>
          </w:p>
        </w:tc>
        <w:tc>
          <w:tcPr>
            <w:tcW w:w="200" w:type="dxa"/>
            <w:vAlign w:val="bottom"/>
          </w:tcPr>
          <w:p>
            <w:pPr>
              <w:spacing w:after="0"/>
              <w:rPr>
                <w:sz w:val="11"/>
                <w:szCs w:val="1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(3,202)</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22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(3,171)</w:t>
            </w: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adjustments</w:t>
            </w:r>
          </w:p>
        </w:tc>
        <w:tc>
          <w:tcPr>
            <w:tcW w:w="1020" w:type="dxa"/>
            <w:vAlign w:val="bottom"/>
            <w:gridSpan w:val="2"/>
            <w:vMerge w:val="continue"/>
            <w:shd w:val="clear" w:color="auto" w:fill="CFF0FC"/>
          </w:tcPr>
          <w:p>
            <w:pPr>
              <w:spacing w:after="0"/>
              <w:rPr>
                <w:sz w:val="10"/>
                <w:szCs w:val="10"/>
                <w:color w:val="auto"/>
              </w:rPr>
            </w:pPr>
          </w:p>
        </w:tc>
        <w:tc>
          <w:tcPr>
            <w:tcW w:w="3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3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gridSpan w:val="3"/>
            <w:vMerge w:val="continue"/>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00" w:type="dxa"/>
            <w:vAlign w:val="bottom"/>
            <w:tcBorders>
              <w:top w:val="single" w:sz="8" w:color="CFF0FC"/>
            </w:tcBorders>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108,100,000</w:t>
            </w:r>
          </w:p>
        </w:tc>
        <w:tc>
          <w:tcPr>
            <w:tcW w:w="2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108,000,000</w:t>
            </w:r>
          </w:p>
        </w:tc>
        <w:tc>
          <w:tcPr>
            <w:tcW w:w="2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(2,621,816)</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(28,889)</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909,649</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2,241,414</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7,099</w:t>
            </w:r>
          </w:p>
        </w:tc>
        <w:tc>
          <w:tcPr>
            <w:tcW w:w="20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(1,659)</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3,127,614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income (loss)</w:t>
            </w: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3"/>
            <w:shd w:val="clear" w:color="auto" w:fill="CFF0FC"/>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1,535,742</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1,535,733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Dividend to</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shareholders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(296,368)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(296,368)</w:t>
            </w: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Repurchase of</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ordinary shares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(3,200,000)</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(97,353)</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(97,353)</w:t>
            </w: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Transfer of ordinary</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shares from</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shareholders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(8,800,000)</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(226,846)</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226,846</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Share-based</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compensation</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157,938</w:t>
            </w:r>
          </w:p>
        </w:tc>
        <w:tc>
          <w:tcPr>
            <w:tcW w:w="2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157,938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Vest of Restricted</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 Units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7,840,000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163,403</w:t>
            </w:r>
          </w:p>
        </w:tc>
        <w:tc>
          <w:tcPr>
            <w:tcW w:w="22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(163,403)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4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Fair value changes</w:t>
            </w: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and foreign currency</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translation</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3,752</w:t>
            </w:r>
          </w:p>
        </w:tc>
        <w:tc>
          <w:tcPr>
            <w:tcW w:w="2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3,862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Borders>
              <w:bottom w:val="single" w:sz="8" w:color="CFF0FC"/>
            </w:tcBorders>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adjustments</w:t>
            </w:r>
          </w:p>
        </w:tc>
        <w:tc>
          <w:tcPr>
            <w:tcW w:w="1020" w:type="dxa"/>
            <w:vAlign w:val="bottom"/>
            <w:tcBorders>
              <w:bottom w:val="single" w:sz="8" w:color="CFF0FC"/>
            </w:tcBorders>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CFF0FC"/>
            </w:tcBorders>
            <w:gridSpan w:val="3"/>
            <w:shd w:val="clear" w:color="auto" w:fill="CFF0FC"/>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FF0FC"/>
            </w:tcBorders>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FF0FC"/>
            </w:tcBorders>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vMerge w:val="continue"/>
            <w:shd w:val="clear" w:color="auto" w:fill="CFF0FC"/>
          </w:tcPr>
          <w:p>
            <w:pPr>
              <w:spacing w:after="0"/>
              <w:rPr>
                <w:sz w:val="10"/>
                <w:szCs w:val="10"/>
                <w:color w:val="auto"/>
              </w:rPr>
            </w:pPr>
          </w:p>
        </w:tc>
        <w:tc>
          <w:tcPr>
            <w:tcW w:w="840" w:type="dxa"/>
            <w:vAlign w:val="bottom"/>
            <w:tcBorders>
              <w:bottom w:val="single" w:sz="8" w:color="auto"/>
            </w:tcBorders>
            <w:vMerge w:val="continue"/>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vMerge w:val="continue"/>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auto"/>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00" w:type="dxa"/>
            <w:vAlign w:val="bottom"/>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108,100,000</w:t>
            </w:r>
          </w:p>
        </w:tc>
        <w:tc>
          <w:tcPr>
            <w:tcW w:w="22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108,000,000</w:t>
            </w:r>
          </w:p>
        </w:tc>
        <w:tc>
          <w:tcPr>
            <w:tcW w:w="220" w:type="dxa"/>
            <w:vAlign w:val="bottom"/>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(6,781,816)</w:t>
            </w:r>
          </w:p>
        </w:tc>
        <w:tc>
          <w:tcPr>
            <w:tcW w:w="140" w:type="dxa"/>
            <w:vAlign w:val="bottom"/>
          </w:tcPr>
          <w:p>
            <w:pPr>
              <w:spacing w:after="0"/>
              <w:rPr>
                <w:sz w:val="8"/>
                <w:szCs w:val="8"/>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(189,685)</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1,131,030</w:t>
            </w:r>
          </w:p>
        </w:tc>
        <w:tc>
          <w:tcPr>
            <w:tcW w:w="22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3,480,788</w:t>
            </w:r>
          </w:p>
        </w:tc>
        <w:tc>
          <w:tcPr>
            <w:tcW w:w="2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10,851</w:t>
            </w:r>
          </w:p>
        </w:tc>
        <w:tc>
          <w:tcPr>
            <w:tcW w:w="200" w:type="dxa"/>
            <w:vAlign w:val="bottom"/>
          </w:tcPr>
          <w:p>
            <w:pPr>
              <w:spacing w:after="0"/>
              <w:rPr>
                <w:sz w:val="8"/>
                <w:szCs w:val="8"/>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(1,558)</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4,431,426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400" w:type="dxa"/>
            <w:vAlign w:val="bottom"/>
          </w:tcPr>
          <w:p>
            <w:pPr>
              <w:ind w:left="80"/>
              <w:spacing w:after="0" w:line="91" w:lineRule="exact"/>
              <w:rPr>
                <w:sz w:val="20"/>
                <w:szCs w:val="20"/>
                <w:color w:val="auto"/>
              </w:rPr>
            </w:pPr>
            <w:r>
              <w:rPr>
                <w:rFonts w:ascii="Times New Roman" w:cs="Times New Roman" w:eastAsia="Times New Roman" w:hAnsi="Times New Roman"/>
                <w:sz w:val="10"/>
                <w:szCs w:val="10"/>
                <w:b w:val="1"/>
                <w:bCs w:val="1"/>
                <w:color w:val="auto"/>
              </w:rPr>
              <w:t>December 31, 2025</w:t>
            </w: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-1550670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-1550670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-1550670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-1550670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-1550670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-1550670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-1550670</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-1550670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-1550670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-1550670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-1550670</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-161925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-161925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-161925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less than one thousand is rounded to zero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4"/>
          <w:szCs w:val="14"/>
          <w:color w:val="auto"/>
        </w:rPr>
        <w:t>JIAYIN GROUP INC.</w:t>
      </w:r>
    </w:p>
    <w:p>
      <w:pPr>
        <w:jc w:val="center"/>
        <w:ind w:right="20"/>
        <w:spacing w:after="0" w:line="226" w:lineRule="auto"/>
        <w:rPr>
          <w:sz w:val="20"/>
          <w:szCs w:val="20"/>
          <w:color w:val="auto"/>
        </w:rPr>
      </w:pPr>
      <w:r>
        <w:rPr>
          <w:rFonts w:ascii="Times New Roman" w:cs="Times New Roman" w:eastAsia="Times New Roman" w:hAnsi="Times New Roman"/>
          <w:sz w:val="14"/>
          <w:szCs w:val="14"/>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4"/>
          <w:szCs w:val="14"/>
          <w:color w:val="auto"/>
        </w:rPr>
        <w:t>FOR THE YEARS ENDED DECEMBER 31, 2023, 2024 AND 2025</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(Amounts in thousands, except for share and per share data, or otherwise stated)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rPr>
                <w:sz w:val="10"/>
                <w:szCs w:val="10"/>
                <w:color w:val="auto"/>
              </w:rPr>
            </w:pPr>
          </w:p>
        </w:tc>
        <w:tc>
          <w:tcPr>
            <w:tcW w:w="106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1860" w:type="dxa"/>
            <w:vAlign w:val="bottom"/>
            <w:gridSpan w:val="3"/>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860" w:type="dxa"/>
            <w:vAlign w:val="bottom"/>
          </w:tcPr>
          <w:p>
            <w:pPr>
              <w:spacing w:after="0"/>
              <w:rPr>
                <w:sz w:val="8"/>
                <w:szCs w:val="8"/>
                <w:color w:val="auto"/>
              </w:rPr>
            </w:pPr>
          </w:p>
        </w:tc>
        <w:tc>
          <w:tcPr>
            <w:tcW w:w="1060" w:type="dxa"/>
            <w:vAlign w:val="bottom"/>
            <w:tcBorders>
              <w:top w:val="single" w:sz="8" w:color="auto"/>
            </w:tcBorders>
          </w:tcPr>
          <w:p>
            <w:pPr>
              <w:jc w:val="center"/>
              <w:ind w:left="506"/>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top w:val="single" w:sz="8" w:color="auto"/>
            </w:tcBorders>
          </w:tcPr>
          <w:p>
            <w:pPr>
              <w:jc w:val="center"/>
              <w:ind w:left="526"/>
              <w:spacing w:after="0" w:line="100"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2"/>
          </w:tcPr>
          <w:p>
            <w:pPr>
              <w:jc w:val="right"/>
              <w:ind w:right="940"/>
              <w:spacing w:after="0" w:line="100" w:lineRule="exact"/>
              <w:rPr>
                <w:sz w:val="20"/>
                <w:szCs w:val="20"/>
                <w:color w:val="auto"/>
              </w:rPr>
            </w:pPr>
            <w:r>
              <w:rPr>
                <w:rFonts w:ascii="Times New Roman" w:cs="Times New Roman" w:eastAsia="Times New Roman" w:hAnsi="Times New Roman"/>
                <w:sz w:val="11"/>
                <w:szCs w:val="11"/>
                <w:b w:val="1"/>
                <w:bCs w:val="1"/>
                <w:color w:val="auto"/>
              </w:rPr>
              <w:t>RMB</w:t>
            </w:r>
          </w:p>
        </w:tc>
        <w:tc>
          <w:tcPr>
            <w:tcW w:w="1660" w:type="dxa"/>
            <w:vAlign w:val="bottom"/>
            <w:tcBorders>
              <w:top w:val="single" w:sz="8" w:color="auto"/>
            </w:tcBorders>
          </w:tcPr>
          <w:p>
            <w:pPr>
              <w:jc w:val="right"/>
              <w:ind w:right="686"/>
              <w:spacing w:after="0" w:line="100" w:lineRule="exact"/>
              <w:rPr>
                <w:sz w:val="20"/>
                <w:szCs w:val="20"/>
                <w:color w:val="auto"/>
              </w:rPr>
            </w:pPr>
            <w:r>
              <w:rPr>
                <w:rFonts w:ascii="Times New Roman" w:cs="Times New Roman" w:eastAsia="Times New Roman" w:hAnsi="Times New Roman"/>
                <w:sz w:val="11"/>
                <w:szCs w:val="11"/>
                <w:b w:val="1"/>
                <w:bCs w:val="1"/>
                <w:color w:val="auto"/>
              </w:rPr>
              <w:t>US$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(Note2(g))</w:t>
            </w: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1,297,576</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1,056,468</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1,535,733</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219,607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920" w:type="dxa"/>
            <w:vAlign w:val="bottom"/>
            <w:gridSpan w:val="2"/>
            <w:shd w:val="clear" w:color="auto" w:fill="CFF0FC"/>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Adjustments to reconcile net income to net cash flows from</w:t>
            </w: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2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Allowance for uncollectible receivables, contract assets,</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 and others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72,764</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12,204</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31,520</w:t>
            </w:r>
          </w:p>
        </w:tc>
        <w:tc>
          <w:tcPr>
            <w:tcW w:w="2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54,353</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59,122</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157,938</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22,585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9,461</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17,873</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70,903</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10,139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Non-cash lease expenses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21,033</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23,557</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25,678</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Gain from disposal of property, equipment and software</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(191)</w:t>
            </w:r>
          </w:p>
        </w:tc>
        <w:tc>
          <w:tcPr>
            <w:tcW w:w="1060" w:type="dxa"/>
            <w:vAlign w:val="bottom"/>
          </w:tcPr>
          <w:p>
            <w:pPr>
              <w:spacing w:after="0"/>
              <w:rPr>
                <w:sz w:val="10"/>
                <w:szCs w:val="10"/>
                <w:color w:val="auto"/>
              </w:rPr>
            </w:pPr>
          </w:p>
        </w:tc>
        <w:tc>
          <w:tcPr>
            <w:tcW w:w="1400" w:type="dxa"/>
            <w:vAlign w:val="bottom"/>
            <w:gridSpan w:val="3"/>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(171)</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Share of loss in equity method investments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400" w:type="dxa"/>
            <w:vAlign w:val="bottom"/>
            <w:gridSpan w:val="3"/>
            <w:shd w:val="clear" w:color="auto" w:fill="CFF0FC"/>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Impairment of long-term investments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91,236</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51,923</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Gain from de-recognition of liabilities</w:t>
            </w: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(280,231)</w:t>
            </w:r>
          </w:p>
        </w:tc>
        <w:tc>
          <w:tcPr>
            <w:tcW w:w="1060" w:type="dxa"/>
            <w:vAlign w:val="bottom"/>
            <w:shd w:val="clear" w:color="auto" w:fill="CFF0FC"/>
          </w:tcPr>
          <w:p>
            <w:pPr>
              <w:spacing w:after="0"/>
              <w:rPr>
                <w:sz w:val="10"/>
                <w:szCs w:val="10"/>
                <w:color w:val="auto"/>
              </w:rPr>
            </w:pPr>
          </w:p>
        </w:tc>
        <w:tc>
          <w:tcPr>
            <w:tcW w:w="1400" w:type="dxa"/>
            <w:vAlign w:val="bottom"/>
            <w:gridSpan w:val="3"/>
            <w:shd w:val="clear" w:color="auto" w:fill="CFF0FC"/>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Loss from disposal of subsidiaries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2,012</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14,431</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Gain on recovery of long-term investment</w:t>
            </w:r>
          </w:p>
        </w:tc>
        <w:tc>
          <w:tcPr>
            <w:tcW w:w="1860" w:type="dxa"/>
            <w:vAlign w:val="bottom"/>
            <w:gridSpan w:val="3"/>
            <w:shd w:val="clear" w:color="auto" w:fill="CFF0FC"/>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(69,018)</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Unrealized investment incomes</w:t>
            </w:r>
          </w:p>
        </w:tc>
        <w:tc>
          <w:tcPr>
            <w:tcW w:w="1860" w:type="dxa"/>
            <w:vAlign w:val="bottom"/>
            <w:gridSpan w:val="3"/>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(2,128)</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(304)</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Changes in operating assets and liabilities:</w:t>
            </w: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Accounts receivable and contract assets</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(497,470)</w:t>
            </w: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(886,457)</w:t>
            </w: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(748,620)</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(107,051)</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Financial assets receivable</w:t>
            </w: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(917,775)</w:t>
            </w: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701,666</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(327,603)</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(46,847)</w:t>
            </w:r>
          </w:p>
        </w:tc>
        <w:tc>
          <w:tcPr>
            <w:tcW w:w="0" w:type="dxa"/>
            <w:vAlign w:val="bottom"/>
          </w:tcPr>
          <w:p>
            <w:pPr>
              <w:spacing w:after="0"/>
              <w:rPr>
                <w:sz w:val="1"/>
                <w:szCs w:val="1"/>
                <w:color w:val="auto"/>
              </w:rPr>
            </w:pPr>
          </w:p>
        </w:tc>
      </w:tr>
      <w:tr>
        <w:trPr>
          <w:trHeight w:val="121"/>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(1,890,443)</w:t>
            </w: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1,494,509</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(566,569)</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(81,018)</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Amounts due from/to related parties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10,759</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11,266</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(12,125)</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(1,734)</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Deferred tax assets</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(18,806)</w:t>
            </w: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(24,129)</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(3,450)</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Other non-current assets</w:t>
            </w: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(504)</w:t>
            </w: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186</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(63,488)</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(9,079)</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Deferred guarantee income</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821,644</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(657,359)</w:t>
            </w: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229,400</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32,804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Contingent guarantee liabilities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933,947</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(728,172)</w:t>
            </w: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383,985</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54,909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Payroll and welfare payables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17,695</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49,625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66,302</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Tax payables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219,348</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124,845</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367,493</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52,551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445,045</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190,564</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159,439</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22,798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Operating Lease</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(22,595)</w:t>
            </w: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(22,939)</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(26,204)</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(3,747)</w:t>
            </w:r>
          </w:p>
        </w:tc>
        <w:tc>
          <w:tcPr>
            <w:tcW w:w="0" w:type="dxa"/>
            <w:vAlign w:val="bottom"/>
          </w:tcPr>
          <w:p>
            <w:pPr>
              <w:spacing w:after="0"/>
              <w:rPr>
                <w:sz w:val="1"/>
                <w:szCs w:val="1"/>
                <w:color w:val="auto"/>
              </w:rPr>
            </w:pPr>
          </w:p>
        </w:tc>
      </w:tr>
      <w:tr>
        <w:trPr>
          <w:trHeight w:val="115"/>
        </w:trPr>
        <w:tc>
          <w:tcPr>
            <w:tcW w:w="38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10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389,588</w:t>
            </w:r>
          </w:p>
        </w:tc>
        <w:tc>
          <w:tcPr>
            <w:tcW w:w="220" w:type="dxa"/>
            <w:vAlign w:val="bottom"/>
            <w:tcBorders>
              <w:top w:val="single" w:sz="8" w:color="CFF0FC"/>
            </w:tcBorders>
          </w:tcPr>
          <w:p>
            <w:pPr>
              <w:spacing w:after="0"/>
              <w:rPr>
                <w:sz w:val="10"/>
                <w:szCs w:val="10"/>
                <w:color w:val="auto"/>
              </w:rPr>
            </w:pPr>
          </w:p>
        </w:tc>
        <w:tc>
          <w:tcPr>
            <w:tcW w:w="10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1,425,488</w:t>
            </w:r>
          </w:p>
        </w:tc>
        <w:tc>
          <w:tcPr>
            <w:tcW w:w="220" w:type="dxa"/>
            <w:vAlign w:val="bottom"/>
            <w:tcBorders>
              <w:top w:val="single" w:sz="8" w:color="CFF0FC"/>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1,257,354</w:t>
            </w:r>
          </w:p>
        </w:tc>
        <w:tc>
          <w:tcPr>
            <w:tcW w:w="220" w:type="dxa"/>
            <w:vAlign w:val="bottom"/>
            <w:tcBorders>
              <w:top w:val="single" w:sz="8" w:color="CFF0FC"/>
            </w:tcBorders>
          </w:tcPr>
          <w:p>
            <w:pPr>
              <w:spacing w:after="0"/>
              <w:rPr>
                <w:sz w:val="10"/>
                <w:szCs w:val="10"/>
                <w:color w:val="auto"/>
              </w:rPr>
            </w:pPr>
          </w:p>
        </w:tc>
        <w:tc>
          <w:tcPr>
            <w:tcW w:w="1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179,799</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Cash flows from investing activities</w:t>
            </w: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Purchase of property, equipment and software</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(31,542)</w:t>
            </w: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(739,130)</w:t>
            </w: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(635,080)</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(90,815)</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Disposal of property, equipment and software</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840</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3,430</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1"/>
                <w:szCs w:val="11"/>
                <w:color w:val="auto"/>
              </w:rPr>
              <w:t>Disposal of subsidiaries, net of cash disposed of</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RMB68,747, RMB2,683 and nil</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(68,747)</w:t>
            </w:r>
          </w:p>
        </w:tc>
        <w:tc>
          <w:tcPr>
            <w:tcW w:w="10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(2,683)</w:t>
            </w:r>
          </w:p>
        </w:tc>
        <w:tc>
          <w:tcPr>
            <w:tcW w:w="58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16,851</w:t>
            </w:r>
          </w:p>
        </w:tc>
        <w:tc>
          <w:tcPr>
            <w:tcW w:w="220" w:type="dxa"/>
            <w:vAlign w:val="bottom"/>
          </w:tcPr>
          <w:p>
            <w:pPr>
              <w:spacing w:after="0"/>
              <w:rPr>
                <w:sz w:val="11"/>
                <w:szCs w:val="1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Acquisition of long-term investments</w:t>
            </w: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(77,533)</w:t>
            </w: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(97,577)</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(238,362)</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(34,085)</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Proceeds from recovery of long-term investments</w:t>
            </w:r>
          </w:p>
        </w:tc>
        <w:tc>
          <w:tcPr>
            <w:tcW w:w="1860" w:type="dxa"/>
            <w:vAlign w:val="bottom"/>
            <w:gridSpan w:val="3"/>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69,018</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71,344</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10,202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Deposits to a third-party company (See Note 4)</w:t>
            </w:r>
          </w:p>
        </w:tc>
        <w:tc>
          <w:tcPr>
            <w:tcW w:w="1860" w:type="dxa"/>
            <w:vAlign w:val="bottom"/>
            <w:gridSpan w:val="3"/>
            <w:shd w:val="clear" w:color="auto" w:fill="CFF0FC"/>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shd w:val="clear" w:color="auto" w:fill="CFF0FC"/>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(864,389)</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(123,606)</w:t>
            </w: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Loans to related parties</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(13,904)</w:t>
            </w: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(120,003)</w:t>
            </w: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(550,000)</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(78,649)</w:t>
            </w: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Repayments from related parties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31,233</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130,110</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250,000</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35,750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Other investing activities</w:t>
            </w:r>
          </w:p>
        </w:tc>
        <w:tc>
          <w:tcPr>
            <w:tcW w:w="10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53,803</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(23,257)</w:t>
            </w:r>
          </w:p>
        </w:tc>
        <w:tc>
          <w:tcPr>
            <w:tcW w:w="580" w:type="dxa"/>
            <w:vAlign w:val="bottom"/>
          </w:tcPr>
          <w:p>
            <w:pPr>
              <w:spacing w:after="0"/>
              <w:rPr>
                <w:sz w:val="10"/>
                <w:szCs w:val="10"/>
                <w:color w:val="auto"/>
              </w:rPr>
            </w:pPr>
          </w:p>
        </w:tc>
        <w:tc>
          <w:tcPr>
            <w:tcW w:w="13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(105,850)</w:t>
            </w: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(783,520)</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(1,946,206)</w:t>
            </w:r>
          </w:p>
        </w:tc>
        <w:tc>
          <w:tcPr>
            <w:tcW w:w="17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(278,303)</w:t>
            </w:r>
          </w:p>
        </w:tc>
        <w:tc>
          <w:tcPr>
            <w:tcW w:w="0" w:type="dxa"/>
            <w:vAlign w:val="bottom"/>
          </w:tcPr>
          <w:p>
            <w:pPr>
              <w:spacing w:after="0"/>
              <w:rPr>
                <w:sz w:val="1"/>
                <w:szCs w:val="1"/>
                <w:color w:val="auto"/>
              </w:rPr>
            </w:pPr>
          </w:p>
        </w:tc>
      </w:tr>
      <w:tr>
        <w:trPr>
          <w:trHeight w:val="115"/>
        </w:trPr>
        <w:tc>
          <w:tcPr>
            <w:tcW w:w="38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Cash flows from financing activities</w:t>
            </w:r>
          </w:p>
        </w:tc>
        <w:tc>
          <w:tcPr>
            <w:tcW w:w="10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Loans from related parties</w:t>
            </w:r>
          </w:p>
        </w:tc>
        <w:tc>
          <w:tcPr>
            <w:tcW w:w="1860" w:type="dxa"/>
            <w:vAlign w:val="bottom"/>
            <w:gridSpan w:val="3"/>
            <w:shd w:val="clear" w:color="auto" w:fill="CFF0FC"/>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27,335</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756,471</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108,174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Loans from banks</w:t>
            </w:r>
          </w:p>
        </w:tc>
        <w:tc>
          <w:tcPr>
            <w:tcW w:w="1860" w:type="dxa"/>
            <w:vAlign w:val="bottom"/>
            <w:gridSpan w:val="3"/>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tcPr>
          <w:p>
            <w:pPr>
              <w:jc w:val="right"/>
              <w:ind w:right="8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669,602</w:t>
            </w:r>
          </w:p>
        </w:tc>
        <w:tc>
          <w:tcPr>
            <w:tcW w:w="22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95,752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Repayment of loans from related parties</w:t>
            </w:r>
          </w:p>
        </w:tc>
        <w:tc>
          <w:tcPr>
            <w:tcW w:w="1860" w:type="dxa"/>
            <w:vAlign w:val="bottom"/>
            <w:gridSpan w:val="3"/>
            <w:shd w:val="clear" w:color="auto" w:fill="CFF0FC"/>
          </w:tcPr>
          <w:p>
            <w:pPr>
              <w:jc w:val="right"/>
              <w:ind w:right="12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(5,755)</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(720,014)</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(102,961)</w:t>
            </w:r>
          </w:p>
        </w:tc>
        <w:tc>
          <w:tcPr>
            <w:tcW w:w="0" w:type="dxa"/>
            <w:vAlign w:val="bottom"/>
          </w:tcPr>
          <w:p>
            <w:pPr>
              <w:spacing w:after="0"/>
              <w:rPr>
                <w:sz w:val="1"/>
                <w:szCs w:val="1"/>
                <w:color w:val="auto"/>
              </w:rPr>
            </w:pPr>
          </w:p>
        </w:tc>
      </w:tr>
      <w:tr>
        <w:trPr>
          <w:trHeight w:val="121"/>
        </w:trPr>
        <w:tc>
          <w:tcPr>
            <w:tcW w:w="49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color w:val="auto"/>
              </w:rPr>
              <w:t>Dividend distributed to shareholders</w:t>
            </w: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(156,674)</w:t>
            </w:r>
          </w:p>
        </w:tc>
        <w:tc>
          <w:tcPr>
            <w:tcW w:w="106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(301,175)</w:t>
            </w:r>
          </w:p>
        </w:tc>
        <w:tc>
          <w:tcPr>
            <w:tcW w:w="580" w:type="dxa"/>
            <w:vAlign w:val="bottom"/>
          </w:tcPr>
          <w:p>
            <w:pPr>
              <w:spacing w:after="0"/>
              <w:rPr>
                <w:sz w:val="10"/>
                <w:szCs w:val="10"/>
                <w:color w:val="auto"/>
              </w:rPr>
            </w:pPr>
          </w:p>
        </w:tc>
        <w:tc>
          <w:tcPr>
            <w:tcW w:w="13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(108,156)</w:t>
            </w:r>
          </w:p>
        </w:tc>
        <w:tc>
          <w:tcPr>
            <w:tcW w:w="17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(15,466)</w:t>
            </w:r>
          </w:p>
        </w:tc>
        <w:tc>
          <w:tcPr>
            <w:tcW w:w="0" w:type="dxa"/>
            <w:vAlign w:val="bottom"/>
          </w:tcPr>
          <w:p>
            <w:pPr>
              <w:spacing w:after="0"/>
              <w:rPr>
                <w:sz w:val="1"/>
                <w:szCs w:val="1"/>
                <w:color w:val="auto"/>
              </w:rPr>
            </w:pPr>
          </w:p>
        </w:tc>
      </w:tr>
      <w:tr>
        <w:trPr>
          <w:trHeight w:val="122"/>
        </w:trPr>
        <w:tc>
          <w:tcPr>
            <w:tcW w:w="4920" w:type="dxa"/>
            <w:vAlign w:val="bottom"/>
            <w:gridSpan w:val="2"/>
            <w:shd w:val="clear" w:color="auto" w:fill="CFF0FC"/>
          </w:tcPr>
          <w:p>
            <w:pPr>
              <w:ind w:left="60"/>
              <w:spacing w:after="0" w:line="122" w:lineRule="exact"/>
              <w:rPr>
                <w:sz w:val="20"/>
                <w:szCs w:val="20"/>
                <w:color w:val="auto"/>
              </w:rPr>
            </w:pPr>
            <w:r>
              <w:rPr>
                <w:rFonts w:ascii="Times New Roman" w:cs="Times New Roman" w:eastAsia="Times New Roman" w:hAnsi="Times New Roman"/>
                <w:sz w:val="11"/>
                <w:szCs w:val="11"/>
                <w:color w:val="auto"/>
              </w:rPr>
              <w:t>Repurchase of ordinary shares</w:t>
            </w: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(38,081)</w:t>
            </w: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(53,261)</w:t>
            </w: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(110,731)</w:t>
            </w:r>
          </w:p>
        </w:tc>
        <w:tc>
          <w:tcPr>
            <w:tcW w:w="17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(15,835)</w:t>
            </w:r>
          </w:p>
        </w:tc>
        <w:tc>
          <w:tcPr>
            <w:tcW w:w="0" w:type="dxa"/>
            <w:vAlign w:val="bottom"/>
          </w:tcPr>
          <w:p>
            <w:pPr>
              <w:spacing w:after="0"/>
              <w:rPr>
                <w:sz w:val="1"/>
                <w:szCs w:val="1"/>
                <w:color w:val="auto"/>
              </w:rPr>
            </w:pPr>
          </w:p>
        </w:tc>
      </w:tr>
      <w:tr>
        <w:trPr>
          <w:trHeight w:val="121"/>
        </w:trPr>
        <w:tc>
          <w:tcPr>
            <w:tcW w:w="386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Proceeds from exercise of options</w:t>
            </w:r>
          </w:p>
        </w:tc>
        <w:tc>
          <w:tcPr>
            <w:tcW w:w="10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1,274</w:t>
            </w:r>
          </w:p>
        </w:tc>
        <w:tc>
          <w:tcPr>
            <w:tcW w:w="2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169</w:t>
            </w:r>
          </w:p>
        </w:tc>
        <w:tc>
          <w:tcPr>
            <w:tcW w:w="2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cash (used in) provided by financing activities</w:t>
            </w:r>
          </w:p>
        </w:tc>
        <w:tc>
          <w:tcPr>
            <w:tcW w:w="10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(193,481)</w:t>
            </w:r>
          </w:p>
        </w:tc>
        <w:tc>
          <w:tcPr>
            <w:tcW w:w="10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(332,687)</w:t>
            </w:r>
          </w:p>
        </w:tc>
        <w:tc>
          <w:tcPr>
            <w:tcW w:w="58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487,172</w:t>
            </w:r>
          </w:p>
        </w:tc>
        <w:tc>
          <w:tcPr>
            <w:tcW w:w="220" w:type="dxa"/>
            <w:vAlign w:val="bottom"/>
            <w:shd w:val="clear" w:color="auto" w:fill="CFF0FC"/>
          </w:tcPr>
          <w:p>
            <w:pPr>
              <w:spacing w:after="0"/>
              <w:rPr>
                <w:sz w:val="10"/>
                <w:szCs w:val="10"/>
                <w:color w:val="auto"/>
              </w:rPr>
            </w:pPr>
          </w:p>
        </w:tc>
        <w:tc>
          <w:tcPr>
            <w:tcW w:w="1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69,664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8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Effect of foreign exchange rate changes on cash, cash equivalents</w:t>
            </w:r>
          </w:p>
        </w:tc>
        <w:tc>
          <w:tcPr>
            <w:tcW w:w="1060" w:type="dxa"/>
            <w:vAlign w:val="bottom"/>
          </w:tcPr>
          <w:p>
            <w:pPr>
              <w:spacing w:after="0"/>
              <w:rPr>
                <w:sz w:val="8"/>
                <w:szCs w:val="8"/>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(10,670)</w:t>
            </w:r>
          </w:p>
        </w:tc>
        <w:tc>
          <w:tcPr>
            <w:tcW w:w="1060" w:type="dxa"/>
            <w:vAlign w:val="bottom"/>
          </w:tcPr>
          <w:p>
            <w:pPr>
              <w:spacing w:after="0"/>
              <w:rPr>
                <w:sz w:val="8"/>
                <w:szCs w:val="8"/>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(4,054)</w:t>
            </w:r>
          </w:p>
        </w:tc>
        <w:tc>
          <w:tcPr>
            <w:tcW w:w="580" w:type="dxa"/>
            <w:vAlign w:val="bottom"/>
          </w:tcPr>
          <w:p>
            <w:pPr>
              <w:spacing w:after="0"/>
              <w:rPr>
                <w:sz w:val="8"/>
                <w:szCs w:val="8"/>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(737)</w:t>
            </w:r>
          </w:p>
        </w:tc>
        <w:tc>
          <w:tcPr>
            <w:tcW w:w="1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122"/>
        </w:trPr>
        <w:tc>
          <w:tcPr>
            <w:tcW w:w="38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and restricted cash</w:t>
            </w:r>
          </w:p>
        </w:tc>
        <w:tc>
          <w:tcPr>
            <w:tcW w:w="10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change in cash, cash equivalents and restricted cash</w:t>
            </w:r>
          </w:p>
        </w:tc>
        <w:tc>
          <w:tcPr>
            <w:tcW w:w="10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79,587</w:t>
            </w: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305,227</w:t>
            </w: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(202,417)</w:t>
            </w:r>
          </w:p>
        </w:tc>
        <w:tc>
          <w:tcPr>
            <w:tcW w:w="17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(28,945)</w:t>
            </w:r>
          </w:p>
        </w:tc>
        <w:tc>
          <w:tcPr>
            <w:tcW w:w="0" w:type="dxa"/>
            <w:vAlign w:val="bottom"/>
          </w:tcPr>
          <w:p>
            <w:pPr>
              <w:spacing w:after="0"/>
              <w:rPr>
                <w:sz w:val="1"/>
                <w:szCs w:val="1"/>
                <w:color w:val="auto"/>
              </w:rPr>
            </w:pPr>
          </w:p>
        </w:tc>
      </w:tr>
      <w:tr>
        <w:trPr>
          <w:trHeight w:val="122"/>
        </w:trPr>
        <w:tc>
          <w:tcPr>
            <w:tcW w:w="38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beginning of the year</w:t>
            </w:r>
          </w:p>
        </w:tc>
        <w:tc>
          <w:tcPr>
            <w:tcW w:w="10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293,041</w:t>
            </w:r>
          </w:p>
        </w:tc>
        <w:tc>
          <w:tcPr>
            <w:tcW w:w="2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372,628</w:t>
            </w:r>
          </w:p>
        </w:tc>
        <w:tc>
          <w:tcPr>
            <w:tcW w:w="2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677,855</w:t>
            </w:r>
          </w:p>
        </w:tc>
        <w:tc>
          <w:tcPr>
            <w:tcW w:w="220" w:type="dxa"/>
            <w:vAlign w:val="bottom"/>
          </w:tcPr>
          <w:p>
            <w:pPr>
              <w:spacing w:after="0"/>
              <w:rPr>
                <w:sz w:val="10"/>
                <w:szCs w:val="10"/>
                <w:color w:val="auto"/>
              </w:rPr>
            </w:pPr>
          </w:p>
        </w:tc>
        <w:tc>
          <w:tcPr>
            <w:tcW w:w="16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96,932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6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end of the year</w:t>
            </w:r>
          </w:p>
        </w:tc>
        <w:tc>
          <w:tcPr>
            <w:tcW w:w="10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372,628</w:t>
            </w:r>
          </w:p>
        </w:tc>
        <w:tc>
          <w:tcPr>
            <w:tcW w:w="22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677,855</w:t>
            </w:r>
          </w:p>
        </w:tc>
        <w:tc>
          <w:tcPr>
            <w:tcW w:w="22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475,438</w:t>
            </w:r>
          </w:p>
        </w:tc>
        <w:tc>
          <w:tcPr>
            <w:tcW w:w="220" w:type="dxa"/>
            <w:vAlign w:val="bottom"/>
            <w:tcBorders>
              <w:bottom w:val="single" w:sz="8" w:color="CFF0FC"/>
            </w:tcBorders>
            <w:shd w:val="clear" w:color="auto" w:fill="CFF0FC"/>
          </w:tcPr>
          <w:p>
            <w:pPr>
              <w:spacing w:after="0"/>
              <w:rPr>
                <w:sz w:val="13"/>
                <w:szCs w:val="13"/>
                <w:color w:val="auto"/>
              </w:rPr>
            </w:pPr>
          </w:p>
        </w:tc>
        <w:tc>
          <w:tcPr>
            <w:tcW w:w="16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67,987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-2091055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-2091055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-2091055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-1062355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-1062355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-1062355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-427990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-427990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-427990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color w:val="auto"/>
        </w:rPr>
        <w:t>JIAYIN GROUP INC.</w:t>
      </w:r>
    </w:p>
    <w:p>
      <w:pPr>
        <w:jc w:val="center"/>
        <w:ind w:right="20"/>
        <w:spacing w:after="0" w:line="226" w:lineRule="auto"/>
        <w:rPr>
          <w:sz w:val="20"/>
          <w:szCs w:val="20"/>
          <w:color w:val="auto"/>
        </w:rPr>
      </w:pPr>
      <w:r>
        <w:rPr>
          <w:rFonts w:ascii="Times New Roman" w:cs="Times New Roman" w:eastAsia="Times New Roman" w:hAnsi="Times New Roman"/>
          <w:sz w:val="14"/>
          <w:szCs w:val="14"/>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4"/>
          <w:szCs w:val="14"/>
          <w:color w:val="auto"/>
        </w:rPr>
        <w:t>FOR THE YEARS ENDED DECEMBER 31, 2023, 2024 AND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color w:val="auto"/>
              </w:rPr>
              <w:t>(Amounts in thousands, except for share and per share data, or otherwise stated)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4"/>
        </w:trPr>
        <w:tc>
          <w:tcPr>
            <w:tcW w:w="5760" w:type="dxa"/>
            <w:vAlign w:val="bottom"/>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42"/>
        </w:trPr>
        <w:tc>
          <w:tcPr>
            <w:tcW w:w="5760" w:type="dxa"/>
            <w:vAlign w:val="bottom"/>
          </w:tcPr>
          <w:p>
            <w:pPr>
              <w:spacing w:after="0"/>
              <w:rPr>
                <w:sz w:val="12"/>
                <w:szCs w:val="12"/>
                <w:color w:val="auto"/>
              </w:rPr>
            </w:pPr>
          </w:p>
        </w:tc>
        <w:tc>
          <w:tcPr>
            <w:tcW w:w="118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2"/>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5760" w:type="dxa"/>
            <w:vAlign w:val="bottom"/>
          </w:tcPr>
          <w:p>
            <w:pPr>
              <w:spacing w:after="0"/>
              <w:rPr>
                <w:sz w:val="10"/>
                <w:szCs w:val="10"/>
                <w:color w:val="auto"/>
              </w:rPr>
            </w:pPr>
          </w:p>
        </w:tc>
        <w:tc>
          <w:tcPr>
            <w:tcW w:w="1180" w:type="dxa"/>
            <w:vAlign w:val="bottom"/>
            <w:tcBorders>
              <w:top w:val="single" w:sz="8" w:color="auto"/>
            </w:tcBorders>
          </w:tcPr>
          <w:p>
            <w:pPr>
              <w:jc w:val="right"/>
              <w:ind w:right="33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10"/>
                <w:szCs w:val="10"/>
                <w:color w:val="auto"/>
              </w:rPr>
            </w:pPr>
          </w:p>
        </w:tc>
        <w:tc>
          <w:tcPr>
            <w:tcW w:w="1180" w:type="dxa"/>
            <w:vAlign w:val="bottom"/>
            <w:tcBorders>
              <w:top w:val="single" w:sz="8" w:color="auto"/>
            </w:tcBorders>
          </w:tcPr>
          <w:p>
            <w:pPr>
              <w:jc w:val="right"/>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540" w:type="dxa"/>
            <w:vAlign w:val="bottom"/>
            <w:tcBorders>
              <w:top w:val="single" w:sz="8" w:color="auto"/>
            </w:tcBorders>
            <w:gridSpan w:val="3"/>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040" w:type="dxa"/>
            <w:vAlign w:val="bottom"/>
            <w:tcBorders>
              <w:top w:val="single" w:sz="8" w:color="auto"/>
            </w:tcBorders>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0"/>
                <w:szCs w:val="10"/>
                <w:color w:val="auto"/>
              </w:rPr>
            </w:pPr>
          </w:p>
        </w:tc>
      </w:tr>
      <w:tr>
        <w:trPr>
          <w:trHeight w:val="173"/>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(Note2(g))</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118,679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Disposal consideration settled by other payable related</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 the disposal of Shanghai Caiyin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75,646</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Disposal consideration settled by accounts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receivable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20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increase of lease liabilities in exchange for right-of-use assets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18"/>
                <w:szCs w:val="18"/>
                <w:color w:val="auto"/>
              </w:rPr>
            </w:pPr>
          </w:p>
        </w:tc>
      </w:tr>
      <w:tr>
        <w:trPr>
          <w:trHeight w:val="198"/>
        </w:trPr>
        <w:tc>
          <w:tcPr>
            <w:tcW w:w="5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Disposal consideration settled by payables related to the</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disposal of Fujian Zhuoqun (see Note 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316,224</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Payables for share repurchase (see Note 10)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2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Payables for dividend to shareholders (see Note 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220,374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100" w:type="dxa"/>
            <w:vAlign w:val="bottom"/>
          </w:tcPr>
          <w:p>
            <w:pPr>
              <w:spacing w:after="0"/>
              <w:rPr>
                <w:sz w:val="18"/>
                <w:szCs w:val="18"/>
                <w:color w:val="auto"/>
              </w:rPr>
            </w:pPr>
          </w:p>
        </w:tc>
      </w:tr>
      <w:tr>
        <w:trPr>
          <w:trHeight w:val="198"/>
        </w:trPr>
        <w:tc>
          <w:tcPr>
            <w:tcW w:w="5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Long-term receivable from disposal consideration</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related to disposal of Giasun and Quark (see Note 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20"/>
                <w:szCs w:val="20"/>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Payables for purchase of property, equipment and software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 of ordinary shares from shareholders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370,193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540,523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137,332</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413,601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59,144</w:t>
            </w:r>
          </w:p>
        </w:tc>
        <w:tc>
          <w:tcPr>
            <w:tcW w:w="100" w:type="dxa"/>
            <w:vAlign w:val="bottom"/>
          </w:tcPr>
          <w:p>
            <w:pPr>
              <w:spacing w:after="0"/>
              <w:rPr>
                <w:sz w:val="18"/>
                <w:szCs w:val="18"/>
                <w:color w:val="auto"/>
              </w:rPr>
            </w:pPr>
          </w:p>
        </w:tc>
      </w:tr>
      <w:tr>
        <w:trPr>
          <w:trHeight w:val="250"/>
        </w:trPr>
        <w:tc>
          <w:tcPr>
            <w:tcW w:w="5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372,628</w:t>
            </w: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677,855</w:t>
            </w: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475,438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5" w:name="page166"/>
    <w:bookmarkEnd w:id="165"/>
    <w:p>
      <w:pPr>
        <w:spacing w:after="0" w:line="1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JIAYIN GROUP INC.</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 or otherwise stated)</w:t>
      </w:r>
    </w:p>
    <w:p>
      <w:pPr>
        <w:spacing w:after="0" w:line="311" w:lineRule="exact"/>
        <w:rPr>
          <w:sz w:val="20"/>
          <w:szCs w:val="20"/>
          <w:color w:val="auto"/>
        </w:rPr>
      </w:pPr>
    </w:p>
    <w:p>
      <w:pPr>
        <w:ind w:left="512" w:hanging="512"/>
        <w:spacing w:after="0"/>
        <w:tabs>
          <w:tab w:leader="none" w:pos="512"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21" w:lineRule="exact"/>
        <w:rPr>
          <w:rFonts w:ascii="Times New Roman" w:cs="Times New Roman" w:eastAsia="Times New Roman" w:hAnsi="Times New Roman"/>
          <w:sz w:val="18"/>
          <w:szCs w:val="18"/>
          <w:b w:val="1"/>
          <w:bCs w:val="1"/>
          <w:color w:val="auto"/>
        </w:rPr>
      </w:pPr>
    </w:p>
    <w:p>
      <w:pPr>
        <w:ind w:left="51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Jiayin Group Inc. (the “Company”) is an exempted company incorporated with limited liabilities in the Cayman Islands under the laws of the Cayman Islands in December 2017.</w:t>
      </w:r>
    </w:p>
    <w:p>
      <w:pPr>
        <w:spacing w:after="0" w:line="53" w:lineRule="exact"/>
        <w:rPr>
          <w:rFonts w:ascii="Times New Roman" w:cs="Times New Roman" w:eastAsia="Times New Roman" w:hAnsi="Times New Roman"/>
          <w:sz w:val="18"/>
          <w:szCs w:val="18"/>
          <w:b w:val="1"/>
          <w:bCs w:val="1"/>
          <w:color w:val="auto"/>
        </w:rPr>
      </w:pPr>
    </w:p>
    <w:p>
      <w:pPr>
        <w:jc w:val="both"/>
        <w:ind w:left="51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its consolidated subsidiaries and the consolidated variable interest entities (“VIEs”) (collectively referred to as the “Group”) provide online consumer finance service in the People’s Republic of China (“PRC”) by connecting institutional funding partners with borrowers through a proprietary internet platform.</w:t>
      </w:r>
    </w:p>
    <w:p>
      <w:pPr>
        <w:spacing w:after="0" w:line="6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As of December 31, 2025 the Company’s major subsidiaries and its consolidated VIEs are as follows:</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572"/>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14"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p>
      <w:pPr>
        <w:spacing w:after="0" w:line="7"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Jiayin Holdings Limited</w:t>
      </w:r>
    </w:p>
    <w:p>
      <w:pPr>
        <w:spacing w:after="0" w:line="23" w:lineRule="exact"/>
        <w:rPr>
          <w:sz w:val="20"/>
          <w:szCs w:val="20"/>
          <w:color w:val="auto"/>
        </w:rPr>
      </w:pPr>
    </w:p>
    <w:p>
      <w:pPr>
        <w:ind w:left="592" w:right="340" w:hanging="134"/>
        <w:spacing w:after="0" w:line="258" w:lineRule="auto"/>
        <w:rPr>
          <w:sz w:val="20"/>
          <w:szCs w:val="20"/>
          <w:color w:val="auto"/>
        </w:rPr>
      </w:pPr>
      <w:r>
        <w:rPr>
          <w:rFonts w:ascii="Times New Roman" w:cs="Times New Roman" w:eastAsia="Times New Roman" w:hAnsi="Times New Roman"/>
          <w:sz w:val="18"/>
          <w:szCs w:val="18"/>
          <w:color w:val="auto"/>
        </w:rPr>
        <w:t>Geerong (HK) Limited (formerly known as “Jiayin (HK) Limited”)</w:t>
      </w:r>
    </w:p>
    <w:p>
      <w:pPr>
        <w:ind w:left="452"/>
        <w:spacing w:after="0"/>
        <w:rPr>
          <w:sz w:val="20"/>
          <w:szCs w:val="20"/>
          <w:color w:val="auto"/>
        </w:rPr>
      </w:pPr>
      <w:r>
        <w:rPr>
          <w:rFonts w:ascii="Times New Roman" w:cs="Times New Roman" w:eastAsia="Times New Roman" w:hAnsi="Times New Roman"/>
          <w:sz w:val="18"/>
          <w:szCs w:val="18"/>
          <w:color w:val="auto"/>
        </w:rPr>
        <w:t>Jiayin Southeast Asia Holdings Limited</w:t>
      </w:r>
    </w:p>
    <w:p>
      <w:pPr>
        <w:spacing w:after="0" w:line="2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Shanghai Kunjia Technology Co., Ltd.</w:t>
      </w:r>
    </w:p>
    <w:p>
      <w:pPr>
        <w:spacing w:after="0" w:line="23"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(“Shanghai Kunjia”)*</w:t>
      </w:r>
    </w:p>
    <w:p>
      <w:pPr>
        <w:spacing w:after="0" w:line="31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Geerong Yunke Information Technology Co., Ltd.</w:t>
      </w:r>
    </w:p>
    <w:p>
      <w:pPr>
        <w:spacing w:after="0" w:line="200" w:lineRule="exact"/>
        <w:rPr>
          <w:sz w:val="20"/>
          <w:szCs w:val="20"/>
          <w:color w:val="auto"/>
        </w:rPr>
      </w:pPr>
    </w:p>
    <w:p>
      <w:pPr>
        <w:spacing w:after="0" w:line="241"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Jiangxi Yunkaijianming Technology Co., Ltd.</w:t>
      </w:r>
    </w:p>
    <w:p>
      <w:pPr>
        <w:spacing w:after="0" w:line="27"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(formerly known as “Geerong Yun</w:t>
      </w:r>
    </w:p>
    <w:p>
      <w:pPr>
        <w:spacing w:after="0" w:line="9"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(Shanghai) Technology Development Co., Ltd.”)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84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180" w:type="dxa"/>
            <w:vAlign w:val="bottom"/>
            <w:vMerge w:val="continue"/>
          </w:tcPr>
          <w:p>
            <w:pPr>
              <w:spacing w:after="0"/>
              <w:rPr>
                <w:sz w:val="12"/>
                <w:szCs w:val="12"/>
                <w:color w:val="auto"/>
              </w:rPr>
            </w:pPr>
          </w:p>
        </w:tc>
        <w:tc>
          <w:tcPr>
            <w:tcW w:w="840" w:type="dxa"/>
            <w:vAlign w:val="bottom"/>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of direct or</w:t>
            </w:r>
          </w:p>
        </w:tc>
        <w:tc>
          <w:tcPr>
            <w:tcW w:w="0" w:type="dxa"/>
            <w:vAlign w:val="bottom"/>
          </w:tcPr>
          <w:p>
            <w:pPr>
              <w:spacing w:after="0"/>
              <w:rPr>
                <w:sz w:val="1"/>
                <w:szCs w:val="1"/>
                <w:color w:val="auto"/>
              </w:rPr>
            </w:pPr>
          </w:p>
        </w:tc>
      </w:tr>
      <w:tr>
        <w:trPr>
          <w:trHeight w:val="148"/>
        </w:trPr>
        <w:tc>
          <w:tcPr>
            <w:tcW w:w="13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establishment or</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840" w:type="dxa"/>
            <w:vAlign w:val="bottom"/>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indirect</w:t>
            </w:r>
          </w:p>
        </w:tc>
        <w:tc>
          <w:tcPr>
            <w:tcW w:w="0" w:type="dxa"/>
            <w:vAlign w:val="bottom"/>
          </w:tcPr>
          <w:p>
            <w:pPr>
              <w:spacing w:after="0"/>
              <w:rPr>
                <w:sz w:val="1"/>
                <w:szCs w:val="1"/>
                <w:color w:val="auto"/>
              </w:rPr>
            </w:pPr>
          </w:p>
        </w:tc>
      </w:tr>
      <w:tr>
        <w:trPr>
          <w:trHeight w:val="190"/>
        </w:trPr>
        <w:tc>
          <w:tcPr>
            <w:tcW w:w="13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84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428"/>
        </w:trPr>
        <w:tc>
          <w:tcPr>
            <w:tcW w:w="132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9"/>
              </w:rPr>
              <w:t>January 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BVI</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38"/>
        </w:trPr>
        <w:tc>
          <w:tcPr>
            <w:tcW w:w="132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9"/>
              </w:rPr>
              <w:t>January 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38"/>
        </w:trPr>
        <w:tc>
          <w:tcPr>
            <w:tcW w:w="13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February 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BVI</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338"/>
        </w:trPr>
        <w:tc>
          <w:tcPr>
            <w:tcW w:w="13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June 2018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648"/>
        </w:trPr>
        <w:tc>
          <w:tcPr>
            <w:tcW w:w="13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9"/>
              </w:rPr>
              <w:t>July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864"/>
        </w:trPr>
        <w:tc>
          <w:tcPr>
            <w:tcW w:w="132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September 2019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Jiangxi</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-1885315</wp:posOffset>
            </wp:positionV>
            <wp:extent cx="6557645"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6557645" cy="13716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-1593850</wp:posOffset>
            </wp:positionV>
            <wp:extent cx="6557645" cy="2743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6557645" cy="27432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-1165225</wp:posOffset>
            </wp:positionV>
            <wp:extent cx="6557645" cy="2743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6557645" cy="27432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-342265</wp:posOffset>
            </wp:positionV>
            <wp:extent cx="6557645" cy="548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655764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Principal activities</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Investment Holding</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Investment Holding</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Investment Holding</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Investment Holding</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Technology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and consumer finance</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services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and consumer finance</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services</w:t>
      </w:r>
    </w:p>
    <w:p>
      <w:pPr>
        <w:spacing w:after="0" w:line="9" w:lineRule="exact"/>
        <w:rPr>
          <w:sz w:val="20"/>
          <w:szCs w:val="20"/>
          <w:color w:val="auto"/>
        </w:rPr>
      </w:pPr>
    </w:p>
    <w:p>
      <w:pPr>
        <w:sectPr>
          <w:pgSz w:w="11900" w:h="16838" w:orient="portrait"/>
          <w:cols w:equalWidth="0" w:num="3">
            <w:col w:w="4472" w:space="720"/>
            <w:col w:w="3340" w:space="480"/>
            <w:col w:w="2220"/>
          </w:cols>
          <w:pgMar w:left="328" w:top="1440" w:right="339" w:bottom="1440" w:gutter="0" w:footer="0" w:header="0"/>
          <w:type w:val="continuous"/>
        </w:sectPr>
      </w:pPr>
    </w:p>
    <w:p>
      <w:pPr>
        <w:ind w:left="452"/>
        <w:spacing w:after="0"/>
        <w:rPr>
          <w:sz w:val="20"/>
          <w:szCs w:val="20"/>
          <w:color w:val="auto"/>
        </w:rPr>
      </w:pPr>
      <w:r>
        <w:rPr>
          <w:rFonts w:ascii="Times New Roman" w:cs="Times New Roman" w:eastAsia="Times New Roman" w:hAnsi="Times New Roman"/>
          <w:sz w:val="18"/>
          <w:szCs w:val="18"/>
          <w:color w:val="auto"/>
        </w:rPr>
        <w:t>Shanghai Chuangzhen Software Co., Ltd.</w:t>
      </w:r>
    </w:p>
    <w:p>
      <w:pPr>
        <w:spacing w:after="0" w:line="2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Shanghai Jirongzhicheng Enterprise</w:t>
      </w:r>
    </w:p>
    <w:p>
      <w:pPr>
        <w:spacing w:after="0" w:line="23" w:lineRule="exact"/>
        <w:rPr>
          <w:sz w:val="20"/>
          <w:szCs w:val="20"/>
          <w:color w:val="auto"/>
        </w:rPr>
      </w:pPr>
    </w:p>
    <w:p>
      <w:pPr>
        <w:ind w:left="592"/>
        <w:spacing w:after="0"/>
        <w:rPr>
          <w:sz w:val="20"/>
          <w:szCs w:val="20"/>
          <w:color w:val="auto"/>
        </w:rPr>
      </w:pPr>
      <w:r>
        <w:rPr>
          <w:rFonts w:ascii="Times New Roman" w:cs="Times New Roman" w:eastAsia="Times New Roman" w:hAnsi="Times New Roman"/>
          <w:sz w:val="18"/>
          <w:szCs w:val="18"/>
          <w:color w:val="auto"/>
        </w:rPr>
        <w:t>Development Co., Ltd.</w:t>
      </w:r>
    </w:p>
    <w:p>
      <w:pPr>
        <w:spacing w:after="0" w:line="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Hainan Yinke Financing Guarantee Co., Ltd.</w:t>
      </w:r>
    </w:p>
    <w:p>
      <w:pPr>
        <w:spacing w:after="0" w:line="23"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Shanghai Jiazhen Software Co., Ltd.</w:t>
      </w:r>
    </w:p>
    <w:p>
      <w:pPr>
        <w:spacing w:after="0" w:line="257" w:lineRule="exact"/>
        <w:rPr>
          <w:sz w:val="20"/>
          <w:szCs w:val="20"/>
          <w:color w:val="auto"/>
        </w:rPr>
      </w:pPr>
    </w:p>
    <w:p>
      <w:pPr>
        <w:ind w:left="452" w:right="13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VIE and VIE's subsidiaries </w:t>
      </w:r>
      <w:r>
        <w:rPr>
          <w:rFonts w:ascii="Times New Roman" w:cs="Times New Roman" w:eastAsia="Times New Roman" w:hAnsi="Times New Roman"/>
          <w:sz w:val="18"/>
          <w:szCs w:val="18"/>
          <w:color w:val="auto"/>
        </w:rPr>
        <w:t>Shanghai Jiayin Technology Co., Ltd.</w:t>
      </w:r>
    </w:p>
    <w:p>
      <w:pPr>
        <w:ind w:left="592" w:right="120"/>
        <w:spacing w:after="0" w:line="260" w:lineRule="auto"/>
        <w:rPr>
          <w:sz w:val="20"/>
          <w:szCs w:val="20"/>
          <w:color w:val="auto"/>
        </w:rPr>
      </w:pPr>
      <w:r>
        <w:rPr>
          <w:rFonts w:ascii="Times New Roman" w:cs="Times New Roman" w:eastAsia="Times New Roman" w:hAnsi="Times New Roman"/>
          <w:sz w:val="18"/>
          <w:szCs w:val="18"/>
          <w:color w:val="auto"/>
        </w:rPr>
        <w:t>("Jiayin Technology", formerly known as "Shanghai Jiayin Finance Technology Co., Ltd.")</w:t>
      </w:r>
    </w:p>
    <w:p>
      <w:pPr>
        <w:spacing w:after="0" w:line="73" w:lineRule="exact"/>
        <w:rPr>
          <w:sz w:val="20"/>
          <w:szCs w:val="20"/>
          <w:color w:val="auto"/>
        </w:rPr>
      </w:pPr>
    </w:p>
    <w:p>
      <w:pPr>
        <w:ind w:left="592" w:right="100" w:hanging="134"/>
        <w:spacing w:after="0" w:line="266" w:lineRule="auto"/>
        <w:rPr>
          <w:sz w:val="20"/>
          <w:szCs w:val="20"/>
          <w:color w:val="auto"/>
        </w:rPr>
      </w:pPr>
      <w:r>
        <w:rPr>
          <w:rFonts w:ascii="Times New Roman" w:cs="Times New Roman" w:eastAsia="Times New Roman" w:hAnsi="Times New Roman"/>
          <w:sz w:val="18"/>
          <w:szCs w:val="18"/>
          <w:color w:val="auto"/>
        </w:rPr>
        <w:t>Shanghai Jiajie Internet Information Services Co., Ltd. (formerly known as "Shanghai Jiajie Finance Information Services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April 2020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333"/>
        </w:trPr>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November 2024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333"/>
        </w:trPr>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August 2021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Hainan</w:t>
            </w:r>
          </w:p>
        </w:tc>
        <w:tc>
          <w:tcPr>
            <w:tcW w:w="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January 2025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r>
      <w:tr>
        <w:trPr>
          <w:trHeight w:val="918"/>
        </w:trPr>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June 2015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756"/>
        </w:trPr>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July 2019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w:t>
            </w:r>
          </w:p>
        </w:tc>
        <w:tc>
          <w:tcPr>
            <w:tcW w:w="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-1628140</wp:posOffset>
            </wp:positionV>
            <wp:extent cx="6557645" cy="274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6557645" cy="274320"/>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-1199515</wp:posOffset>
            </wp:positionV>
            <wp:extent cx="6557645"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6557645" cy="137160"/>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-908050</wp:posOffset>
            </wp:positionV>
            <wp:extent cx="6557645"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-342265</wp:posOffset>
            </wp:positionV>
            <wp:extent cx="6557645" cy="548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655764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8"/>
          <w:szCs w:val="18"/>
          <w:color w:val="auto"/>
        </w:rPr>
        <w:t>Technology service</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Commercial service</w:t>
      </w:r>
    </w:p>
    <w:p>
      <w:pPr>
        <w:spacing w:after="0" w:line="131" w:lineRule="exact"/>
        <w:rPr>
          <w:sz w:val="20"/>
          <w:szCs w:val="20"/>
          <w:color w:val="auto"/>
        </w:rPr>
      </w:pPr>
    </w:p>
    <w:p>
      <w:pPr>
        <w:ind w:left="80" w:right="720" w:firstLine="60"/>
        <w:spacing w:after="0" w:line="297" w:lineRule="auto"/>
        <w:rPr>
          <w:sz w:val="20"/>
          <w:szCs w:val="20"/>
          <w:color w:val="auto"/>
        </w:rPr>
      </w:pPr>
      <w:r>
        <w:rPr>
          <w:rFonts w:ascii="Times New Roman" w:cs="Times New Roman" w:eastAsia="Times New Roman" w:hAnsi="Times New Roman"/>
          <w:sz w:val="18"/>
          <w:szCs w:val="18"/>
          <w:color w:val="auto"/>
        </w:rPr>
        <w:t>Guarantee service Technology service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Technology service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Technology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and consumer finance</w:t>
      </w:r>
    </w:p>
    <w:p>
      <w:pPr>
        <w:spacing w:after="0" w:line="2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services</w:t>
      </w:r>
    </w:p>
    <w:p>
      <w:pPr>
        <w:spacing w:after="0" w:line="9" w:lineRule="exact"/>
        <w:rPr>
          <w:sz w:val="20"/>
          <w:szCs w:val="20"/>
          <w:color w:val="auto"/>
        </w:rPr>
      </w:pPr>
    </w:p>
    <w:p>
      <w:pPr>
        <w:sectPr>
          <w:pgSz w:w="11900" w:h="16838" w:orient="portrait"/>
          <w:cols w:equalWidth="0" w:num="3">
            <w:col w:w="4492" w:space="720"/>
            <w:col w:w="3200" w:space="600"/>
            <w:col w:w="2220"/>
          </w:cols>
          <w:pgMar w:left="328" w:top="1440" w:right="339" w:bottom="1440" w:gutter="0" w:footer="0" w:header="0"/>
          <w:type w:val="continuous"/>
        </w:sectPr>
      </w:pPr>
    </w:p>
    <w:tbl>
      <w:tblPr>
        <w:tblLayout w:type="fixed"/>
        <w:tblInd w:w="452"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Jiayin Shuke Information Technology Co., Ltd.</w:t>
            </w:r>
          </w:p>
        </w:tc>
        <w:tc>
          <w:tcPr>
            <w:tcW w:w="1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January 2021</w:t>
            </w: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Shanghai</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Guangxi Chuangzhen Information Technology</w:t>
            </w:r>
          </w:p>
        </w:tc>
        <w:tc>
          <w:tcPr>
            <w:tcW w:w="19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January 2022</w:t>
            </w:r>
          </w:p>
        </w:tc>
        <w:tc>
          <w:tcPr>
            <w:tcW w:w="12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Guangxi</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41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19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-273685</wp:posOffset>
            </wp:positionV>
            <wp:extent cx="6557645" cy="274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6557645" cy="274320"/>
                    </a:xfrm>
                    <a:prstGeom prst="rect">
                      <a:avLst/>
                    </a:prstGeom>
                    <a:noFill/>
                  </pic:spPr>
                </pic:pic>
              </a:graphicData>
            </a:graphic>
          </wp:anchor>
        </w:drawing>
      </w:r>
    </w:p>
    <w:p>
      <w:pPr>
        <w:spacing w:after="0" w:line="191" w:lineRule="exact"/>
        <w:rPr>
          <w:sz w:val="20"/>
          <w:szCs w:val="20"/>
          <w:color w:val="auto"/>
        </w:rPr>
      </w:pPr>
    </w:p>
    <w:p>
      <w:pPr>
        <w:ind w:left="872" w:hanging="363"/>
        <w:spacing w:after="0"/>
        <w:tabs>
          <w:tab w:leader="none" w:pos="8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Kunjia is the primary beneficiary of the 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Technology service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service</w:t>
      </w:r>
    </w:p>
    <w:p>
      <w:pPr>
        <w:spacing w:after="0" w:line="753" w:lineRule="exact"/>
        <w:rPr>
          <w:sz w:val="20"/>
          <w:szCs w:val="20"/>
          <w:color w:val="auto"/>
        </w:rPr>
      </w:pPr>
    </w:p>
    <w:p>
      <w:pPr>
        <w:sectPr>
          <w:pgSz w:w="11900" w:h="16838" w:orient="portrait"/>
          <w:cols w:equalWidth="0" w:num="2">
            <w:col w:w="8372" w:space="720"/>
            <w:col w:w="2140"/>
          </w:cols>
          <w:pgMar w:left="328" w:top="1440" w:right="339" w:bottom="1440" w:gutter="0" w:footer="0" w:header="0"/>
          <w:type w:val="continuous"/>
        </w:sectPr>
      </w:pPr>
    </w:p>
    <w:p>
      <w:pPr>
        <w:spacing w:after="0" w:line="1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492125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166" w:name="page167"/>
    <w:bookmarkEnd w:id="166"/>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Group have been prepared in accordance with accounting principles generally accepted in the United States of America (“U.S. GAAP”).</w:t>
      </w:r>
    </w:p>
    <w:p>
      <w:pPr>
        <w:spacing w:after="0" w:line="50"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include the financial information of the Company, its wholly owned subsidiaries and its consolidated VIEs.</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upon consolidation.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VIE Arrangement with Shanghai Kunjia, the WFOE</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order to comply with the PRC laws and regulations currently in effect, which place certain restrictions and conditions on foreign ownership of certain areas of businesses, the Group operates relevant business in the Chinese mainland through its VIEs. In June 2018, the Company, through its wholly owned foreign invested subsidiary, Shanghai Kunjia or WFOE, entered into a series of contractual arrangements (“VIE agreements”) with Jiayin Technology and its respective shareholders that enable the Company to (1) have power to direct the activities that most significantly affects the economic performance of the VIEs, and (2) receive the economic benefits of the VIEs that could be significant to the VIEs.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VIE agreements that provide the Company effective control over the VIEs include: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Powers of Attorney:</w:t>
      </w:r>
    </w:p>
    <w:p>
      <w:pPr>
        <w:spacing w:after="0" w:line="117"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Pursuant to the Power of Attorney, each of the four shareholders have signed power of attorney with WFOE to irrevocably authorize the board of directors / Executive Directors of WFOE and their successors to act as his or her attorney-in-fact to exercise all of his or her rights as a shareholder of Jiayin Technology including, but not limited to, the right (1) to make and sign the relevant shareholders’ general meeting decision on behalf of the shareholders of Jiayin Technology; (2) in accordance with the law and Jiayin Technology’s Charter of shareholders exercise the right to enjoy all the rights of shareholders, including but not limited to the right of shareholders to vote, sell or transfer or pledge or dispose of all or any part of Jiayin Technology’s shares; and (3) designate and appoint the legal representative, chairman, director, supervisor, general manager and other senior management of Jiayin Technology as the authorized representative of the Group. This power of attorney is irrevocable and continues to be in force during the period when the authorized person is a shareholder of WFOE, from the date of signature of this power of attorney.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Exclusive Purchase Agreement:</w:t>
      </w:r>
    </w:p>
    <w:p>
      <w:pPr>
        <w:spacing w:after="0" w:line="117"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Pursuant to the Exclusive Purchase Agreement among WFOE, Jiayin Technology and the four shareholders of Jiayin Technology, the four shareholders and Jiayin Technology shall irrevocably grant WFOE, to purchase or appoint one or more persons from WFOE at any time to purchase all or part of the shares which is not subject to legal restriction or assets held by the four shareholders or Jiayin Technology. Except for WFOE and the designated person, no third party shall have the right to purchase shares and assets or other shares and assets related to the four shareholders. The consideration of the purchase should be RMB1 or the lowest price permitted by the PRC laws. The effective time period of this agreement is ten years, and will be automatically extended to further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67" w:name="page168"/>
    <w:bookmarkEnd w:id="167"/>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0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Variable interest entity -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The VIE Arrangement with Shanghai Kunjia, the WFOE - </w:t>
      </w:r>
      <w:r>
        <w:rPr>
          <w:rFonts w:ascii="Times New Roman" w:cs="Times New Roman" w:eastAsia="Times New Roman" w:hAnsi="Times New Roman"/>
          <w:sz w:val="18"/>
          <w:szCs w:val="18"/>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agreements that transfer economic benefits to the Company include: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Exclusive Consultation and Service Agreement:</w:t>
      </w:r>
    </w:p>
    <w:p>
      <w:pPr>
        <w:spacing w:after="0" w:line="117"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Pursuant to the Exclusive Consultation and Service Agreement between WFOE and Jiayin Technology, WFOE has the exclusive right to provide Jiayin Technology with consulting and other services. Without WFOE’s prior written consent, Jiayin Technology may not accept any services subject to this agreement from any third party. WFOE has the right to determine the service fee to be charged to Jiayin Technology under this agreement by considering, among other things, the complexity of the services, the actual cost that may be incurred for providing such services, as well as the value and comparable price on the market of the service provided. WFOE will have the exclusive ownership of all intellectual property rights created as a result of the performance of this agreement. Unless WFOE terminates this agreement in advance or otherwise provided by law, this agreement will remain effective for ten years and shall automatically extend the term of this agreement prior to its expiration. Jiayin Technology may not terminate this agreement unilaterally.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Equity Pledge Agreement:</w:t>
      </w:r>
    </w:p>
    <w:p>
      <w:pPr>
        <w:spacing w:after="0" w:line="117"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Pursuant to the Equity Pledge Agreement among WFOE, Jiayin Technology and the four shareholders, in order to ensure that Jiayin Technology and its shareholders will fulfill the obligations under the power of attorney, the exclusive consultation and service agreement, and the exclusive purchase agreement (collectively “the Main Agreement”), the four shareholders have pledged 100% equity interest in Jiayin Technology to WFOE. According to the Main Agreement, the pledgee has the right to charge the service fee to Jiayin Technology. Those shareholders and WFOE also agree that without a prior written consent of the pledgee, they shall not transfer the shares or set up any pledge or other form of guarantee which may affect the rights and interests of the pledgee.</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These contractual arrangements allow the Company, through its wholly owned subsidiary WFOE, to effectively control the VIEs, and to derive substantially all of the economic benefits from them. Accordingly, the Company has consolidated the financial results of the VIEs. The Company believes that the contractual arrangements with the VIEs are in compliance with PRC law and are legally enforceable. However, uncertainties in the PRC legal system could limit the Company’s ability to enforce the contractual arrangements.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68" w:name="page169"/>
    <w:bookmarkEnd w:id="168"/>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Variable interest entity -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The VIE Arrangement with Shanghai Kunjia, the WFOE - </w:t>
      </w:r>
      <w:r>
        <w:rPr>
          <w:rFonts w:ascii="Times New Roman" w:cs="Times New Roman" w:eastAsia="Times New Roman" w:hAnsi="Times New Roman"/>
          <w:sz w:val="18"/>
          <w:szCs w:val="18"/>
          <w:color w:val="auto"/>
        </w:rPr>
        <w:t>continued</w:t>
      </w:r>
    </w:p>
    <w:p>
      <w:pPr>
        <w:spacing w:after="0" w:line="121"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condensed financial statement balances and amounts of the Company’s VIEs, were included in the accompanying consolidated financial statements after the elimination of intercompany balances and transactions among the Company, its subsidiaries and its VIEs.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tax assets,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139,900</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82,414</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color w:val="auto"/>
              </w:rPr>
              <w:t>Payroll and welfare payables</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64,442</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64,472</w:t>
            </w: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payables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298,894</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240,095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5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080" w:type="dxa"/>
            <w:vAlign w:val="bottom"/>
            <w:gridSpan w:val="3"/>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473,239</w:t>
            </w:r>
          </w:p>
        </w:tc>
        <w:tc>
          <w:tcPr>
            <w:tcW w:w="1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280,566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(1,140,806)</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(1,274,173)</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(1,161,172)</w:t>
            </w: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(868,605)</w:t>
            </w:r>
          </w:p>
        </w:tc>
        <w:tc>
          <w:tcPr>
            <w:tcW w:w="12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(1,265,296)</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(1,170,886)</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(1,095,655)</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(1,368,916)</w:t>
            </w: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(1,169,567)</w:t>
            </w: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(74,100)</w:t>
            </w:r>
          </w:p>
        </w:tc>
        <w:tc>
          <w:tcPr>
            <w:tcW w:w="126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5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-2171065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-2171065</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-1305560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-1288415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-1305560</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-1288415</wp:posOffset>
            </wp:positionV>
            <wp:extent cx="596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VIEs contributed 9%, 5% and 1% of the Group’s consolidated revenue for the years ended December 31, 2023, 2024 and 2025, respectively. As of December 31, 2024 and 2025, the VIEs accounted for an aggregate of 3% and 1% of the consolidated total assets, and 13% and 6% of the consolidated total liabilities, respectively.</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There are no terms in any arrangements, considering both explicit arrangements and implicit variable interests that require the Company or its subsidiaries to provide financial support to the VIEs. However, if the VIEs were ever to need financial support, the Group may, at its option and subject to statutory limits and restrictions, provide financial support to its VIEs through loans to the shareholders of the VIEs or entrustment loans to the VIEs.</w:t>
      </w:r>
    </w:p>
    <w:p>
      <w:pPr>
        <w:spacing w:after="0" w:line="7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Group believes that there are no assets held in the VIEs that can be used only to settle obligations of the VIEs, except for registered capital and the PRC statutory reserves. As the VIEs are incorporated as limited liability companies under the PRC Company Law, creditors of the VIEs do not have recourse to the general credit of the Company for any of the liabilities of the VIEs. Relevant PRC laws and regulations restrict the VIEs from transferring a portion of their net assets, equivalent to the balance of its statutory reserve and its share capital, to the Company in the form of loans and advances or cash dividends. See Note 17 for disclosure of restricted net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69" w:name="page170"/>
    <w:bookmarkEnd w:id="169"/>
    <w:p>
      <w:pPr>
        <w:ind w:left="520" w:hanging="512"/>
        <w:spacing w:after="0"/>
        <w:tabs>
          <w:tab w:leader="none" w:pos="5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reported amounts of revenues and expenses during the reporting period. Actual results may differ from these estimates. Changes in estimates are recorded in the period they are identified.</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Group bases its estimates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financial statements include expected credit loss for financial guarantee in scope of ASC 326, allowance for credit losses on financial assets receivable, accounts receivables and contract assets, prepaid expenses and other receivables, impairment of long-term investments, valuation allowances for deferred tax assets, determination on the standalone selling price of each identified performance obligation and variable consideration for revenue recognition.</w:t>
      </w:r>
    </w:p>
    <w:p>
      <w:pPr>
        <w:spacing w:after="0" w:line="75"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54"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carrying values of financial instruments, which consist of cash and cash equivalents, restricted cash, accounts receivable and contract assets, financial assets receivable, certain current assets included in prepaid expenses and other current assets, certain investments, which are approximate to the fair values mainly due to the short-term nature of these instruments. The bank borrowings approximate their fair values, because the bearing interest rates approximate market interest rate, and market interest rates have not fluctuated significantly since the commencement of loan contracts signed. Held to maturity investments in long-term investments approximate their fair values, because the bearing interest rates approximate market interest rate, and market interest rates have not fluctuated significantly since the commencement of loan contracts signed.</w:t>
      </w:r>
    </w:p>
    <w:p>
      <w:pPr>
        <w:spacing w:after="0" w:line="7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Group does not have any assets or liabilities that are recorded at fair value subsequent to initial recognition on a recurring basis other than the investment in convertible debt accounted for as available-for-sale debt security, which is classified as a level 2 fair value measurement. The fair value of available-for-sale investments is measured using discounted cash flow model based on contractual cash flow and a discount rate of prevailing market yield for instruments with similar terms as of the measurement date, as such, it is classified within Level 2 measurement. Fair value measurement on a nonrecurring basis as of December 31, 2024 included that used in impairment of an equity investment (see Note 6) which was classified as a Level 3 fair value. There is no fair measurement on a recurring basis as December 31, 2025.</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0" w:name="page171"/>
    <w:bookmarkEnd w:id="170"/>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Certain risks and concentrations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Financial instrument that potentially exposes the Group to significant concentration of credit risk primarily includes cash and cash equivalents, restricted cash, accounts receivable and contract assets, financial assets receivable, and amounts due from related parties. As of December 31, 2024 and 2025, there were 99% of the Group’s cash and cash equivalents and restricted cash held in major financial institutions located in the PRC, and the rest were held in overseas major financial institutions which management considers to be of high credit quality. Accounts receivable, contract assets and financial assets receivable are typically unsecured and are derived from revenue earned from customers in the PRC. Prepaid expenses and other current assets primarily consist of (1) deposits to institutional funding partners for provision of the primary guarantee, (2) deposits to a third-party company, and (3) receivables from third party companies in relation to the back-to-back guarantee services (See Note 4). The risk with respect to accounts receivable and contract assets, and financial assets receivable is mitigated by credit evaluations the Group performs on its customers and its ongoing monitoring process of outstanding balances. For the credit risk related to prepaid expenses and other current assets, the Group regularly monitors the financial condition and evaluates the credit quality of each counterparties.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Customer A accounted for 18% of accounts receivable and contract assets.</w:t>
      </w:r>
    </w:p>
    <w:p>
      <w:pPr>
        <w:spacing w:after="0" w:line="113" w:lineRule="exact"/>
        <w:rPr>
          <w:sz w:val="20"/>
          <w:szCs w:val="20"/>
          <w:color w:val="auto"/>
        </w:rPr>
      </w:pPr>
    </w:p>
    <w:p>
      <w:pPr>
        <w:ind w:left="1020" w:hanging="503"/>
        <w:spacing w:after="0"/>
        <w:tabs>
          <w:tab w:leader="none" w:pos="102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 is dollars (“US$”). The functional currency of the Group’s subsidiaries and VIEs in the PRC is Renminbi (“RMB”). The functional currency of subsidiaries outside of PRC is typically their local currency. The determination of the respective functional currency is based on the criteria stated in Accounting Standard Codification (“ASC”) Topic 830, Foreign Currency Matters. The Group also uses RMB as its reporting currency. Monetary assets and liabilities denominated in currencies other than the functional currency are translated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earnings.</w:t>
      </w:r>
    </w:p>
    <w:p>
      <w:pPr>
        <w:spacing w:after="0" w:line="8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Assets and liabilities are translated using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separate component in the statements of comprehensive income.</w:t>
      </w:r>
    </w:p>
    <w:p>
      <w:pPr>
        <w:spacing w:after="0" w:line="64"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Convenience translation</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Group’s financial statements are stated in RMB. Translations of balances in the consolidated balance sheets, and the related consolidated statements of operations and comprehensive income, shareholders’ equity and cash flows from RMB into US dollars as of and for the year ended December 31, 2025 are included solely for the convenience of the readers and have been made at the rate of US$1.00=RMB6.9931, representing the noon buying rate set forth in the H.10 statistical release of the U.S. Federal Reserve Board on December 31, 2025. No representation is made that the RMB amounts could have been, or could be, converted, realized or settled into US$ at that rate or at any other rate.</w:t>
      </w:r>
    </w:p>
    <w:p>
      <w:pPr>
        <w:spacing w:after="0" w:line="71"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Renminbi (“RMB”) is not a freely convertible currency. The State Administration for Foreign Exchange, under the authority of the Peoples Bank of China, controls the conversion of RMB into other currencies. The value of the RMB is subject to changes in central government policies, international economic and political developments affecting supply and demand in the China Foreign Exchange Trading System market. The Group’s cash and cash equivalents and restricted cash denominated in RMB amounted to RMB669,464 and RMB465,062 as of December 31, 2024 and 2025, respectively.</w:t>
      </w:r>
    </w:p>
    <w:p>
      <w:pPr>
        <w:spacing w:after="0" w:line="71"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and demand deposits which are highly liquid and have original maturities of three months or less and are unrestricted as to withdrawal or use.</w:t>
      </w:r>
    </w:p>
    <w:p>
      <w:pPr>
        <w:spacing w:after="0" w:line="50"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Restricted cash represents (1) restricted deposits placed in funding banks in relation to the guarantee services provided by the Group, and (2) pledged deposit in exchange for revolving credit facility (See Note 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1" w:name="page172"/>
    <w:bookmarkEnd w:id="171"/>
    <w:p>
      <w:pPr>
        <w:ind w:left="520" w:hanging="512"/>
        <w:spacing w:after="0"/>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Guarantee arrangement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Primary guarantee</w:t>
      </w:r>
    </w:p>
    <w:p>
      <w:pPr>
        <w:spacing w:after="0" w:line="119" w:lineRule="exact"/>
        <w:rPr>
          <w:sz w:val="20"/>
          <w:szCs w:val="20"/>
          <w:color w:val="auto"/>
        </w:rPr>
      </w:pPr>
    </w:p>
    <w:p>
      <w:pPr>
        <w:jc w:val="both"/>
        <w:ind w:left="520"/>
        <w:spacing w:after="0" w:line="251" w:lineRule="auto"/>
        <w:rPr>
          <w:sz w:val="20"/>
          <w:szCs w:val="20"/>
          <w:color w:val="auto"/>
        </w:rPr>
      </w:pPr>
      <w:r>
        <w:rPr>
          <w:rFonts w:ascii="Times New Roman" w:cs="Times New Roman" w:eastAsia="Times New Roman" w:hAnsi="Times New Roman"/>
          <w:sz w:val="18"/>
          <w:szCs w:val="18"/>
          <w:color w:val="auto"/>
        </w:rPr>
        <w:t>Starting from the fourth quarter of year 2022, the Group provides guarantee services through its own licensed financing guarantee subsidiaries or through cooperation with third-party licensed financing guarantee companies for loans facilitated to the institutional funding partners. Under guarantee services through its own licensed financing guarantee subsidiaries, the Group is obligated to place deposits directly to institutional funding partners with an agreed percentage of outstanding loan balance subject to guarantee. The Group records deposits to funding banks under “restricted cash” and deposits to institutional funding partners other than funding banks under “Prepaid expenses and other current assets, net” on the consolidated balance sheets, respectively. Starting from year 2024, majority of the new guarantee services provided by the Group are through its own licensed financing guarantee subsidiary. Under the cooperation with licensed financing guarantee companies, these licensed financing guarantee companies initially reimburses the loan principal and interest to the institutional funding partners upon borrower’s default. Although the Group does not have direct contractual obligation to the institutional funding partners for defaulted principal and interest, the Group provides back-to-back guarantee to the licensed financing guarantee companies. As agreed in the back-to-back guarantee contract, the Group would compensate the licensed financing guarantee companies for actual losses incurred by them on defaulted principal and interest. When the licensed financing guarantee companies are required to place deposits to the institutional funding partners as part of the arrangement, the Group will also be obligated to place back-to-back deposits to the licensed financing guarantee companies of the same amount and with the same settlement terms. The deposit amount is typically set at an agreed percentage of outstanding loan balance subject to guarantee. The Group’s deposits to licensed financing guarantee companies are recorded under "Prepaid expenses and other current assets, net" on the consolidated balance sheets. Given that the Group effectively takes on all of the credit risk of the borrowers, the Group recognizes a stand-ready obligation for its guarantee exposure at the inception of guarantee in accordance with ASC Topic 460 with an associated financial assets receivable. The initial fair value of stand-ready guarantee liabilities based on expected default rate of underlying loans subject to guarantee on a pool basis according to the historical delinquency data by vintage, adjusted by specific risk characteristics for borrowers from various channels, and other pertinent information in assessing future performance of the loan portfolio. The Group also records a contingent guarantee liability with an allowance for credit losses pursuant to ASC Topic 326 Current expected credit loss (“CECL”). Subsequent to the initial recognition, the ASC 460 stand-ready guarantee is released into guarantee revenue on a straight-line basis over the term of the guarantee, while the contingent guarantee is reduced by the payouts made by the Group to compensate the institutional funding partners/licensed financing guarantee companies upon borrowers’ default. Allowance for credit losses under CECL model was included under “Allowance for uncollectible receivables, contract assets, prepaid expenses and other current assets and others” and revalued at each period end to reflect updated estimation for future net pay-out.</w:t>
      </w:r>
    </w:p>
    <w:p>
      <w:pPr>
        <w:spacing w:after="0" w:line="96"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2024, a subsidiary of the Group entered into a one-year agreement with an oversea third-party funding partner to guarantee its principle and interests income with a pre-agreed rate. The maximum potential future payments under such agreement was US$3 million. In 2025, the Company further extended one year and increased cumulative principle amount of oversea guarantee limit to US$30 million. As of December 31, 2024 and 2025, the maximum potential future payments, including all outstanding principal and interests for which the Group provides primary guarantee, were RMB2,776,650 and RMB9,436,706, respectively.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aging of the Group’s contractual amounts of the outstanding principle and interests subject to guarantee:</w:t>
      </w:r>
    </w:p>
    <w:p>
      <w:pPr>
        <w:spacing w:after="0" w:line="3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9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0-30 days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3"/>
                <w:szCs w:val="13"/>
                <w:color w:val="auto"/>
              </w:rPr>
            </w:pPr>
          </w:p>
        </w:tc>
        <w:tc>
          <w:tcPr>
            <w:tcW w:w="14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9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960" w:type="dxa"/>
            <w:vAlign w:val="bottom"/>
            <w:tcBorders>
              <w:top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34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9,436,706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9,436,706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connection with the above back-to-back guarantee arrangements with the institutional funding partners and licensed financing guarantee companies, the Group also engages third-party companies to provide back-to-back guarantee services to the Group, pursuant to which the third-party companies are obligated to compensate the Group at an amount equal to the compensation the Group paid to the institutional funding partners and the third-party licensed financing guarantee companies. The Group pays a service fee to the third-party companies, which is typically set as a pre-agreed percentage of loan volume. As part of the arrangement, the Group also requests for a back-to-back deposit from the third-party companies. The Group records the deposits received from the third-party companies under "Accrued expenses and other current liabilities” on the consolidated balance sheets.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2" w:name="page173"/>
    <w:bookmarkEnd w:id="172"/>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Guarantee arrangement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Primary guarantee -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Group records an estimated receivable for the amount determined to be probable of recovery (if any) from the third-party companies under “Prepaid expenses and other current assets” on the consolidated balance sheets in accordance with ASC326-20, with a corresponding amount recorded under “Allowance for uncollectible receivables, contract assets, prepaid expenses and other current assets and others”. The corresponding service fee have been included in “Facilitation and servicing expenses” on the consolidated statements of operations and comprehensive income.</w:t>
      </w:r>
    </w:p>
    <w:p>
      <w:pPr>
        <w:spacing w:after="0" w:line="7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recorded contingent guarantee liabilities and corresponding recoverable assets of RMB589,760. During the year ended December 31, 2025, the net pay-out for contingent guarantee liabilities under primary guarantee business was RMB1,542,403.</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Deferred guarantee income</w:t>
      </w:r>
    </w:p>
    <w:p>
      <w:pPr>
        <w:spacing w:after="0" w:line="119"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activities of the Group’s obligations associated with the deferred guarantee income for the years ended December 31, 2024 and 2025:</w:t>
      </w:r>
    </w:p>
    <w:tbl>
      <w:tblPr>
        <w:tblLayout w:type="fixed"/>
        <w:tblInd w:w="580" w:type="dxa"/>
        <w:tblCellMar>
          <w:top w:w="0" w:type="dxa"/>
          <w:left w:w="0" w:type="dxa"/>
          <w:bottom w:w="0" w:type="dxa"/>
          <w:right w:w="0" w:type="dxa"/>
        </w:tblCellMar>
      </w:tblPr>
      <w:tr>
        <w:trPr>
          <w:trHeight w:val="156"/>
        </w:trPr>
        <w:tc>
          <w:tcPr>
            <w:tcW w:w="59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0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220" w:type="dxa"/>
            <w:vAlign w:val="bottom"/>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Opening balances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886,862</w:t>
            </w: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229,503</w:t>
            </w:r>
          </w:p>
        </w:tc>
        <w:tc>
          <w:tcPr>
            <w:tcW w:w="100" w:type="dxa"/>
            <w:vAlign w:val="bottom"/>
            <w:shd w:val="clear" w:color="auto" w:fill="CFF0FC"/>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guarantee liabilities at inception of new loans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781,808</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921,015</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 of guarantee liabilities</w:t>
            </w:r>
          </w:p>
        </w:tc>
        <w:tc>
          <w:tcPr>
            <w:tcW w:w="1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(1,439,167)</w:t>
            </w: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(691,615)</w:t>
            </w:r>
          </w:p>
        </w:tc>
      </w:tr>
      <w:tr>
        <w:trPr>
          <w:trHeight w:val="209"/>
        </w:trPr>
        <w:tc>
          <w:tcPr>
            <w:tcW w:w="5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balances</w:t>
            </w:r>
          </w:p>
        </w:tc>
        <w:tc>
          <w:tcPr>
            <w:tcW w:w="1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229,503</w:t>
            </w:r>
          </w:p>
        </w:tc>
        <w:tc>
          <w:tcPr>
            <w:tcW w:w="50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458,903</w:t>
            </w:r>
          </w:p>
        </w:tc>
        <w:tc>
          <w:tcPr>
            <w:tcW w:w="100" w:type="dxa"/>
            <w:vAlign w:val="bottom"/>
            <w:tcBorders>
              <w:top w:val="single" w:sz="8" w:color="CFF0FC"/>
            </w:tcBorders>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assets receivable and expected credit loss under ASC 326</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Financial assets receivable is recognized at loan inception which is equal to the stand-ready guarantee liability recorded at fair value in accordance with ASC 460. The financial assets receivable is accounted for as a financial asset, and reduced upon the receipt of the service fee payment. At each reporting date, the Group estimates an allowance for credit losses primarily based on expectations of lifetime credit losses based on historical default experience, known or inherent risks in the portfolio, current economic conditions and macroeconomics forecasts as well as other factors surrounding the credit risk of specific type of customers. If the carrying amounts of the financial assets receivable exceed the expected cash to be received, an impairment loss is recorded for the irrecoverable financial assets receivable and is recorded in the consolidated statements of operations and comprehensive income. Credit losses (Reversal of credit losses) of RMB7,207, RMB(5,957) and RMB(865) were recorded in the consolidated statements of operations and comprehensive income during the years ended December 31, 2023, 2024 and 2025, respectively.</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receivable as of December 31, 2024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9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4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20" w:type="dxa"/>
            <w:vAlign w:val="bottom"/>
          </w:tcPr>
          <w:p>
            <w:pPr>
              <w:jc w:val="right"/>
              <w:ind w:right="46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Pr>
          <w:p>
            <w:pPr>
              <w:spacing w:after="0"/>
              <w:rPr>
                <w:sz w:val="12"/>
                <w:szCs w:val="12"/>
                <w:color w:val="auto"/>
              </w:rPr>
            </w:pPr>
          </w:p>
        </w:tc>
        <w:tc>
          <w:tcPr>
            <w:tcW w:w="140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60" w:type="dxa"/>
            <w:vAlign w:val="bottom"/>
            <w:gridSpan w:val="2"/>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 receivable</w:t>
            </w:r>
          </w:p>
        </w:tc>
        <w:tc>
          <w:tcPr>
            <w:tcW w:w="3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294,733</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601,985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of financial assets receivable</w:t>
            </w:r>
          </w:p>
        </w:tc>
        <w:tc>
          <w:tcPr>
            <w:tcW w:w="2260" w:type="dxa"/>
            <w:vAlign w:val="bottom"/>
          </w:tcPr>
          <w:p>
            <w:pPr>
              <w:spacing w:after="0"/>
              <w:rPr>
                <w:sz w:val="18"/>
                <w:szCs w:val="18"/>
                <w:color w:val="auto"/>
              </w:rPr>
            </w:pP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(1,250)</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receivable, net</w:t>
            </w:r>
          </w:p>
        </w:tc>
        <w:tc>
          <w:tcPr>
            <w:tcW w:w="22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293,483</w:t>
            </w:r>
          </w:p>
        </w:tc>
        <w:tc>
          <w:tcPr>
            <w:tcW w:w="4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601,600</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737"/>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12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color w:val="auto"/>
              </w:rPr>
              <w:t>F-17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-1002665</wp:posOffset>
            </wp:positionV>
            <wp:extent cx="603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-985520</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-985520</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3" w:name="page174"/>
    <w:bookmarkEnd w:id="173"/>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Guarantee arrangement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Secondary guarantee</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For certain off-balance sheet loans facilitated between borrowers and institutional funding partners, guarantee services are provided by third-party guarantee companies who charge guarantee service fees directly from borrowers. Upon borrowers’ default, the third-party guarantee companies compensate institutional funding partners for unpaid principal and interest. In certain contracts, the Group provides commitment letter of balance complements to the institutional funding partners in the event that the guarantee companies are unable to fully reimburse the institutional funding partners. In some other contracts, the guarantee companies require a third-party company to act as counter guarantor and require the Group to provide a commitment letter of balance complements to compensate third-party guarantee companies in the event that the counter guarantor are unable to fully reimburse the guarantee companies or when the deposits are below the required threshold. The fair value of guarantee liabilities of the Group as a secondary guarantor was inconsequential and no compensation was accrued by the Group during the year of 2023. During the years of 2024 and 2025, the Group accrued guarantee liabilities of RMB3,051 and RMB3,286 arising from secondary guarantee, respectively. As of December 31, 2024 and 2025, the outstanding loan balance for which the Group provides secondary guarantee was RMB29,151,751 and RMB33,123,760, respectively.</w:t>
      </w:r>
    </w:p>
    <w:p>
      <w:pPr>
        <w:spacing w:after="0" w:line="80" w:lineRule="exact"/>
        <w:rPr>
          <w:sz w:val="20"/>
          <w:szCs w:val="20"/>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Group’s in-scope assets are primarily accounts receivable and contract assets, financial assets receivable from institutional funding partners and licensed financing guarantee companies, receivables from the third-party asset management company and amounts due from related parties. ASC Topic 326 also requires the expected credit losses related to guarantee contracts be recorded separately from and in addition to the stand ready guarantee liability accounted for in accordance with ASC Topic 460. The guarantee obligation is separated into the expected credit losses of the guarantee contracts accounted for in accordance with ASC Topic 326, and deferred guarantee income.</w:t>
      </w:r>
    </w:p>
    <w:p>
      <w:pPr>
        <w:spacing w:after="0" w:line="29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Group estimates the allowance for accounts receivables and contract assets based on expected net accumulated loss rates for terms during which losses of such service fees are expected to occur, which are consistent with the terms during which the Group expects to collect service fees.</w:t>
      </w:r>
    </w:p>
    <w:p>
      <w:pPr>
        <w:spacing w:after="0" w:line="5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Group establishes an allowance for amounts due from related parties and receivables from the third-party asset management company that are based on historical experience and other factors surrounding the credit risk of specific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4" w:name="page175"/>
    <w:bookmarkEnd w:id="174"/>
    <w:p>
      <w:pPr>
        <w:ind w:left="552" w:hanging="552"/>
        <w:spacing w:after="0"/>
        <w:tabs>
          <w:tab w:leader="none" w:pos="55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12" w:hanging="503"/>
        <w:spacing w:after="0"/>
        <w:tabs>
          <w:tab w:leader="none" w:pos="1012" w:val="left"/>
        </w:tabs>
        <w:numPr>
          <w:ilvl w:val="1"/>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Property and equipment is generally stated at historical cost and depreciated on a straight-line basis over the estimated useful lives of the assets. Depreciation and amortization expense of long-lived assets are included in either facilitation and servicing expenses, selling and marketing expenses, general and administrative expenses, or research and development expenses as appropriate. Property and equipment consist of the following and depreciation is calculated on a straight-line basis over the following estimated useful lives are:</w:t>
      </w:r>
    </w:p>
    <w:p>
      <w:pPr>
        <w:sectPr>
          <w:pgSz w:w="11900" w:h="16838" w:orient="portrait"/>
          <w:cols w:equalWidth="0" w:num="1">
            <w:col w:w="11232"/>
          </w:cols>
          <w:pgMar w:left="328" w:top="1359" w:right="339" w:bottom="1440" w:gutter="0" w:footer="0" w:header="0"/>
        </w:sectPr>
      </w:pPr>
    </w:p>
    <w:p>
      <w:pPr>
        <w:spacing w:after="0" w:line="6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31"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18"/>
          <w:szCs w:val="18"/>
          <w:color w:val="auto"/>
        </w:rPr>
        <w:t>Office building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useful life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years</w:t>
      </w:r>
    </w:p>
    <w:p>
      <w:pPr>
        <w:spacing w:after="0" w:line="112" w:lineRule="exact"/>
        <w:rPr>
          <w:sz w:val="20"/>
          <w:szCs w:val="20"/>
          <w:color w:val="auto"/>
        </w:rPr>
      </w:pPr>
    </w:p>
    <w:p>
      <w:pPr>
        <w:sectPr>
          <w:pgSz w:w="11900" w:h="16838" w:orient="portrait"/>
          <w:cols w:equalWidth="0" w:num="2">
            <w:col w:w="5132" w:space="720"/>
            <w:col w:w="5380"/>
          </w:cols>
          <w:pgMar w:left="328" w:top="1359" w:right="339" w:bottom="1440" w:gutter="0" w:footer="0" w:header="0"/>
          <w:type w:val="continuous"/>
        </w:sectPr>
      </w:pPr>
    </w:p>
    <w:p>
      <w:pPr>
        <w:ind w:left="492"/>
        <w:spacing w:after="0"/>
        <w:rPr>
          <w:sz w:val="20"/>
          <w:szCs w:val="20"/>
          <w:color w:val="auto"/>
        </w:rPr>
      </w:pPr>
      <w:r>
        <w:rPr>
          <w:rFonts w:ascii="Times New Roman" w:cs="Times New Roman" w:eastAsia="Times New Roman" w:hAnsi="Times New Roman"/>
          <w:sz w:val="18"/>
          <w:szCs w:val="18"/>
          <w:color w:val="auto"/>
        </w:rPr>
        <w:t>Electronic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131" w:lineRule="exact"/>
        <w:rPr>
          <w:sz w:val="20"/>
          <w:szCs w:val="20"/>
          <w:color w:val="auto"/>
        </w:rPr>
      </w:pPr>
    </w:p>
    <w:p>
      <w:pPr>
        <w:sectPr>
          <w:pgSz w:w="11900" w:h="16838" w:orient="portrait"/>
          <w:cols w:equalWidth="0" w:num="2">
            <w:col w:w="5132" w:space="720"/>
            <w:col w:w="5380"/>
          </w:cols>
          <w:pgMar w:left="328" w:top="1359" w:right="339" w:bottom="1440" w:gutter="0" w:footer="0" w:header="0"/>
          <w:type w:val="continuous"/>
        </w:sectPr>
      </w:pPr>
    </w:p>
    <w:p>
      <w:pPr>
        <w:ind w:left="492"/>
        <w:spacing w:after="0"/>
        <w:rPr>
          <w:sz w:val="20"/>
          <w:szCs w:val="20"/>
          <w:color w:val="auto"/>
        </w:rPr>
      </w:pPr>
      <w:r>
        <w:rPr>
          <w:rFonts w:ascii="Times New Roman" w:cs="Times New Roman" w:eastAsia="Times New Roman" w:hAnsi="Times New Roman"/>
          <w:sz w:val="18"/>
          <w:szCs w:val="18"/>
          <w:color w:val="auto"/>
        </w:rPr>
        <w:t>Office equipment &amp;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131" w:lineRule="exact"/>
        <w:rPr>
          <w:sz w:val="20"/>
          <w:szCs w:val="20"/>
          <w:color w:val="auto"/>
        </w:rPr>
      </w:pPr>
    </w:p>
    <w:p>
      <w:pPr>
        <w:sectPr>
          <w:pgSz w:w="11900" w:h="16838" w:orient="portrait"/>
          <w:cols w:equalWidth="0" w:num="2">
            <w:col w:w="5132" w:space="720"/>
            <w:col w:w="5380"/>
          </w:cols>
          <w:pgMar w:left="328" w:top="1359" w:right="339" w:bottom="1440" w:gutter="0" w:footer="0" w:header="0"/>
          <w:type w:val="continuous"/>
        </w:sectPr>
      </w:pPr>
    </w:p>
    <w:p>
      <w:pPr>
        <w:ind w:left="492"/>
        <w:spacing w:after="0"/>
        <w:rPr>
          <w:sz w:val="20"/>
          <w:szCs w:val="20"/>
          <w:color w:val="auto"/>
        </w:rPr>
      </w:pPr>
      <w:r>
        <w:rPr>
          <w:rFonts w:ascii="Times New Roman" w:cs="Times New Roman" w:eastAsia="Times New Roman" w:hAnsi="Times New Roman"/>
          <w:sz w:val="18"/>
          <w:szCs w:val="18"/>
          <w:color w:val="auto"/>
        </w:rPr>
        <w:t>Motor vehicles</w:t>
      </w:r>
    </w:p>
    <w:p>
      <w:pPr>
        <w:spacing w:after="0" w:line="20" w:lineRule="exact"/>
        <w:rPr>
          <w:sz w:val="20"/>
          <w:szCs w:val="20"/>
          <w:color w:val="auto"/>
        </w:rPr>
      </w:pPr>
      <w:r>
        <w:rPr>
          <w:sz w:val="20"/>
          <w:szCs w:val="20"/>
          <w:color w:val="auto"/>
        </w:rPr>
        <w:br w:type="column"/>
      </w:r>
    </w:p>
    <w:p>
      <w:pPr>
        <w:jc w:val="center"/>
        <w:ind w:right="4620"/>
        <w:spacing w:after="0"/>
        <w:rPr>
          <w:sz w:val="20"/>
          <w:szCs w:val="20"/>
          <w:color w:val="auto"/>
        </w:rPr>
      </w:pPr>
      <w:r>
        <w:rPr>
          <w:rFonts w:ascii="Times New Roman" w:cs="Times New Roman" w:eastAsia="Times New Roman" w:hAnsi="Times New Roman"/>
          <w:sz w:val="18"/>
          <w:szCs w:val="18"/>
          <w:color w:val="auto"/>
        </w:rPr>
        <w:t>4-10 years</w:t>
      </w:r>
    </w:p>
    <w:p>
      <w:pPr>
        <w:spacing w:after="0" w:line="117" w:lineRule="exact"/>
        <w:rPr>
          <w:sz w:val="20"/>
          <w:szCs w:val="20"/>
          <w:color w:val="auto"/>
        </w:rPr>
      </w:pPr>
    </w:p>
    <w:p>
      <w:pPr>
        <w:sectPr>
          <w:pgSz w:w="11900" w:h="16838" w:orient="portrait"/>
          <w:cols w:equalWidth="0" w:num="2">
            <w:col w:w="5132" w:space="720"/>
            <w:col w:w="5380"/>
          </w:cols>
          <w:pgMar w:left="328" w:top="1359" w:right="339" w:bottom="1440" w:gutter="0" w:footer="0" w:header="0"/>
          <w:type w:val="continuous"/>
        </w:sectPr>
      </w:pPr>
    </w:p>
    <w:p>
      <w:pPr>
        <w:jc w:val="both"/>
        <w:ind w:left="512"/>
        <w:spacing w:after="0" w:line="256"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value of an asset may not be fully recoverable.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75" w:lineRule="exact"/>
        <w:rPr>
          <w:sz w:val="20"/>
          <w:szCs w:val="20"/>
          <w:color w:val="auto"/>
        </w:rPr>
      </w:pPr>
    </w:p>
    <w:p>
      <w:pPr>
        <w:ind w:left="1012" w:hanging="503"/>
        <w:spacing w:after="0"/>
        <w:tabs>
          <w:tab w:leader="none" w:pos="1012" w:val="left"/>
        </w:tabs>
        <w:numPr>
          <w:ilvl w:val="0"/>
          <w:numId w:val="1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11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119"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spacing w:after="0" w:line="39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Available-for-sale debt securities</w:t>
      </w:r>
    </w:p>
    <w:p>
      <w:pPr>
        <w:spacing w:after="0" w:line="119"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Investments in debt securities that do not meet the criteria of held-to-maturity or trading securities are classified as available-for-sale, which are measured at fair value with changes in fair value with the unrealized gains or losses recorded in accumulated other comprehensive income as a component of shareholders’ equity.</w:t>
      </w:r>
    </w:p>
    <w:p>
      <w:pPr>
        <w:spacing w:after="0" w:line="39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auto"/>
        </w:rPr>
        <w:t>Held to maturity debt securities</w:t>
      </w:r>
    </w:p>
    <w:p>
      <w:pPr>
        <w:spacing w:after="0" w:line="119" w:lineRule="exact"/>
        <w:rPr>
          <w:sz w:val="20"/>
          <w:szCs w:val="20"/>
          <w:color w:val="auto"/>
        </w:rPr>
      </w:pPr>
    </w:p>
    <w:p>
      <w:pPr>
        <w:jc w:val="both"/>
        <w:ind w:left="512"/>
        <w:spacing w:after="0" w:line="282" w:lineRule="auto"/>
        <w:rPr>
          <w:sz w:val="20"/>
          <w:szCs w:val="20"/>
          <w:color w:val="auto"/>
        </w:rPr>
      </w:pPr>
      <w:r>
        <w:rPr>
          <w:rFonts w:ascii="Times New Roman" w:cs="Times New Roman" w:eastAsia="Times New Roman" w:hAnsi="Times New Roman"/>
          <w:sz w:val="18"/>
          <w:szCs w:val="18"/>
          <w:color w:val="auto"/>
        </w:rPr>
        <w:t>The Company accounts for held to maturity investments under ASC 320. Such securities are accounted for at amortized cost and reviewed on a quarterly basis to determine if an allowance for credit losses should be recorded in the consolidated statements of income.</w:t>
      </w:r>
    </w:p>
    <w:p>
      <w:pPr>
        <w:spacing w:after="0" w:line="200" w:lineRule="exact"/>
        <w:rPr>
          <w:sz w:val="20"/>
          <w:szCs w:val="20"/>
          <w:color w:val="auto"/>
        </w:rPr>
      </w:pPr>
    </w:p>
    <w:p>
      <w:pPr>
        <w:spacing w:after="0" w:line="2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9" w:right="339" w:bottom="1440" w:gutter="0" w:footer="0" w:header="0"/>
          <w:type w:val="continuous"/>
        </w:sectPr>
      </w:pPr>
    </w:p>
    <w:bookmarkStart w:id="175" w:name="page176"/>
    <w:bookmarkEnd w:id="175"/>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Valued-added taxes (“VAT”)</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Group is subject to VAT at the rate of 6% or 3% given that they are classified as a general tax payer. Entities that are VAT general taxpayers are allowed to offset qualified input VAT paid to suppliers against their output VAT liabilities.</w:t>
      </w:r>
    </w:p>
    <w:p>
      <w:pPr>
        <w:spacing w:after="0" w:line="50" w:lineRule="exact"/>
        <w:rPr>
          <w:sz w:val="20"/>
          <w:szCs w:val="20"/>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520" w:right="20"/>
        <w:spacing w:after="0" w:line="261" w:lineRule="auto"/>
        <w:rPr>
          <w:sz w:val="20"/>
          <w:szCs w:val="20"/>
          <w:color w:val="auto"/>
        </w:rPr>
      </w:pPr>
      <w:r>
        <w:rPr>
          <w:rFonts w:ascii="Times New Roman" w:cs="Times New Roman" w:eastAsia="Times New Roman" w:hAnsi="Times New Roman"/>
          <w:sz w:val="18"/>
          <w:szCs w:val="18"/>
          <w:color w:val="auto"/>
        </w:rPr>
        <w:t>Share-based payment transactions with employees are measured based on the grant date fair value of the equity instrument issued and recognized as compensation expense on a graded vesting basis, over the requisite service period, with a corresponding impact reflected in additional paid-in capital. For grants of options and restricted stock units (“RSUs”) subject to service-based and company performance-based vesting conditions, the fair value is established based on the market price on the date of the grant.</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expected term represents the period that share-based awards are expected to be outstanding, giving consideration to the contractual terms of the share-based awards, vesting schedules and expectations of future employee exercise behavior. Expected volatilities were based on the average historical equity volatility of the Group. The Group adopted ASU 2016-09 and accounts for forfeitures of the share-based awards when they occur. Previously recognized compensation cost for the awards is reversed in the period that the award is forfeited. Amortization of share-based compensation is presented in the same line item in the consolidated statements of operations and comprehensive income as the cash compensation of those employees receiving the award.</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Modifications of the terms or conditions of the awards are treated as an exchange of the original awards for new awards. Incremental compensation cost is measured and recognized as the excess, if any, of the fair value of the modified award over the fair value of the original award immediately before the terms are modified. When the Group cancels unvested options and restricted share units (“RSUs”), the remaining unrecognized expenses are recognized immediately on the cancellation date.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6" w:name="page177"/>
    <w:bookmarkEnd w:id="176"/>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Group has adopted ASU 2014-09, Revenue from Contracts with Customers (Topic 606) and all subsequent ASUs that modified ASC Topic 606 on January 1, 2018.</w:t>
      </w:r>
    </w:p>
    <w:p>
      <w:pPr>
        <w:spacing w:after="0" w:line="5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68" w:lineRule="exact"/>
        <w:rPr>
          <w:sz w:val="20"/>
          <w:szCs w:val="20"/>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(s)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facilitation services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Group provides service through its facilitation of loan transactions between borrowers and institutional funding partners. The Group’s service mainly consist of performing credit assessment on the borrowers, referring qualified borrowers to the institutional funding partners, and facilitating the execution of loan agreements between the parties.</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Group identifies the loan facilitation service as one performance obligation under ASC Topic 606, as the Group does not retain any further obligations after the facilitation of a loan. The Group follows the guidance on immaterial promises when identifying performance obligations and concludes that promises related to post-facilitation service, if any, are immaterial in the context of the contract and do not constitute a performance obligation.</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Group assesses ability and intention to pay the service fees of the customers when they become due and determines if the collection of the service fees is probable, based on historical experiences as well as the credit due diligence performed before cooperation. The Group determines the total transaction price to be the service fees chargeable according to the contracts, net of value-added tax, which are normally settled through third-party licensed financing guarantee companies and other cooperative financial institutions. Under certain agreements, the transaction price includes variable consideration due to borrowers’ actual repayment to institutional funding partners. The Group estimates variable consideration for these contracts using the expected value approach on the basis of historical information.</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Group recognizes revenue when (or as) the entity satisfies the service/ performance obligation by transferring the promised service (that is, an asset) to customers based on the underlying contract terms excluding consideration of impairment of contract assets or accounts receivable. Revenues from loan facilitation services are recognized at the time a loan is facilitated between the institutional funding partners and the borrower and the principal loan balance is transferred to the borrower, at which time the facilitation service is considered completed.</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some cases, the institutional funding partners engage third-party licensed financing guarantee companies to provide guarantee on the performance of the loans the Group facilitates. The Group may, at the request of the institutional funding partner or the third-party licensed financing guarantee company to provide back-to-back guarantee. See details of guarantee arrangement accounting in Note 2(k).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7" w:name="page178"/>
    <w:bookmarkEnd w:id="177"/>
    <w:p>
      <w:pPr>
        <w:ind w:left="512" w:hanging="512"/>
        <w:spacing w:after="0"/>
        <w:tabs>
          <w:tab w:leader="none" w:pos="51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12" w:hanging="503"/>
        <w:spacing w:after="0"/>
        <w:tabs>
          <w:tab w:leader="none" w:pos="1012" w:val="left"/>
        </w:tabs>
        <w:numPr>
          <w:ilvl w:val="1"/>
          <w:numId w:val="1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Guarantee revenue</w:t>
      </w:r>
    </w:p>
    <w:p>
      <w:pPr>
        <w:spacing w:after="0" w:line="121"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The stand-ready guarantee liabilities are released into guarantee revenue over the term of the guarantee (see accounting policy for Guarantee arrangement 2(k)). The Group started to provide primary guarantee since the fourth quarter of 2022. For the years ended December 31, 2023, 2024 and 2025, revenue from the releasing of guarantee liabilities were RMB1,393,081, RMB1,357,705 and RMB652,467, respectively.</w:t>
      </w:r>
    </w:p>
    <w:p>
      <w:pPr>
        <w:spacing w:after="0" w:line="388"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21" w:lineRule="exact"/>
        <w:rPr>
          <w:sz w:val="20"/>
          <w:szCs w:val="20"/>
          <w:color w:val="auto"/>
        </w:rPr>
      </w:pPr>
    </w:p>
    <w:p>
      <w:pPr>
        <w:jc w:val="both"/>
        <w:ind w:left="512"/>
        <w:spacing w:after="0" w:line="282" w:lineRule="auto"/>
        <w:rPr>
          <w:sz w:val="20"/>
          <w:szCs w:val="20"/>
          <w:color w:val="auto"/>
        </w:rPr>
      </w:pPr>
      <w:r>
        <w:rPr>
          <w:rFonts w:ascii="Times New Roman" w:cs="Times New Roman" w:eastAsia="Times New Roman" w:hAnsi="Times New Roman"/>
          <w:sz w:val="18"/>
          <w:szCs w:val="18"/>
          <w:color w:val="auto"/>
        </w:rPr>
        <w:t>Other revenues primarily include service fees charged to the third-party financial service providers for the referral service of borrowers and investors, and interest income generated from loan services to oversea individuals.</w:t>
      </w:r>
    </w:p>
    <w:p>
      <w:pPr>
        <w:spacing w:after="0" w:line="54"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Interest income generated from oversea individuals is recognized over the terms of loans receivable using the effective interest rate method under ASC Topic 310. Interest income is not recorded when reasonable doubt exists as to the full, timely collection of interest income or principal. Interest collected upfront at the loan inception is recorded as deferred revenue. The Group no longer provided this service since 2025.</w:t>
      </w:r>
    </w:p>
    <w:p>
      <w:pPr>
        <w:spacing w:after="0" w:line="200" w:lineRule="exact"/>
        <w:rPr>
          <w:sz w:val="20"/>
          <w:szCs w:val="20"/>
          <w:color w:val="auto"/>
        </w:rPr>
      </w:pPr>
    </w:p>
    <w:p>
      <w:pPr>
        <w:spacing w:after="0" w:line="30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9" w:right="339" w:bottom="1440" w:gutter="0" w:footer="0" w:header="0"/>
        </w:sectPr>
      </w:pPr>
    </w:p>
    <w:bookmarkStart w:id="178" w:name="page179"/>
    <w:bookmarkEnd w:id="178"/>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illustrates the disaggregation of revenue by product and services the Group offered in 2023, 2024 and 2025, respectively, net of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VAT and surcharges: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2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740" w:type="dxa"/>
            <w:vAlign w:val="bottom"/>
            <w:gridSpan w:val="2"/>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4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2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500" w:type="dxa"/>
            <w:vAlign w:val="bottom"/>
            <w:tcBorders>
              <w:top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480" w:type="dxa"/>
            <w:vAlign w:val="bottom"/>
            <w:tcBorders>
              <w:top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198"/>
        </w:trPr>
        <w:tc>
          <w:tcPr>
            <w:tcW w:w="2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Revenue from loan</w:t>
            </w:r>
          </w:p>
        </w:tc>
        <w:tc>
          <w:tcPr>
            <w:tcW w:w="25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facilitation services</w:t>
            </w:r>
          </w:p>
        </w:tc>
        <w:tc>
          <w:tcPr>
            <w:tcW w:w="25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At a point in time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3,489,184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4,011,776</w:t>
            </w: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5,112,466</w:t>
            </w:r>
          </w:p>
        </w:tc>
        <w:tc>
          <w:tcPr>
            <w:tcW w:w="100" w:type="dxa"/>
            <w:vAlign w:val="bottom"/>
            <w:shd w:val="clear" w:color="auto" w:fill="CFF0FC"/>
          </w:tcPr>
          <w:p>
            <w:pPr>
              <w:spacing w:after="0"/>
              <w:rPr>
                <w:sz w:val="20"/>
                <w:szCs w:val="20"/>
                <w:color w:val="auto"/>
              </w:rPr>
            </w:pP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the releasing</w:t>
            </w:r>
          </w:p>
        </w:tc>
        <w:tc>
          <w:tcPr>
            <w:tcW w:w="2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guarantee liabilities</w:t>
            </w:r>
          </w:p>
        </w:tc>
        <w:tc>
          <w:tcPr>
            <w:tcW w:w="2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Overtime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1,393,081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1,357,705</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652,467</w:t>
            </w:r>
          </w:p>
        </w:tc>
        <w:tc>
          <w:tcPr>
            <w:tcW w:w="100" w:type="dxa"/>
            <w:vAlign w:val="bottom"/>
          </w:tcPr>
          <w:p>
            <w:pPr>
              <w:spacing w:after="0"/>
              <w:rPr>
                <w:sz w:val="20"/>
                <w:szCs w:val="20"/>
                <w:color w:val="auto"/>
              </w:rPr>
            </w:pPr>
          </w:p>
        </w:tc>
      </w:tr>
      <w:tr>
        <w:trPr>
          <w:trHeight w:val="216"/>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 - referral services</w:t>
            </w:r>
          </w:p>
        </w:tc>
        <w:tc>
          <w:tcPr>
            <w:tcW w:w="25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At a point in time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477,722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388,081</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452,207</w:t>
            </w:r>
          </w:p>
        </w:tc>
        <w:tc>
          <w:tcPr>
            <w:tcW w:w="100" w:type="dxa"/>
            <w:vAlign w:val="bottom"/>
            <w:shd w:val="clear" w:color="auto" w:fill="CFF0FC"/>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 others</w:t>
            </w:r>
          </w:p>
        </w:tc>
        <w:tc>
          <w:tcPr>
            <w:tcW w:w="2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At a point in time/Overtime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106,886</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18"/>
                <w:szCs w:val="18"/>
                <w:color w:val="auto"/>
              </w:rPr>
            </w:pPr>
          </w:p>
        </w:tc>
      </w:tr>
      <w:tr>
        <w:trPr>
          <w:trHeight w:val="249"/>
        </w:trPr>
        <w:tc>
          <w:tcPr>
            <w:tcW w:w="2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52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5,466,873</w:t>
            </w:r>
          </w:p>
        </w:tc>
        <w:tc>
          <w:tcPr>
            <w:tcW w:w="24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5,801,032</w:t>
            </w:r>
          </w:p>
        </w:tc>
        <w:tc>
          <w:tcPr>
            <w:tcW w:w="2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6,222,190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03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Accounts receivable and contract assets</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Contract assets represent the Group’s right to consideration in exchange for services that the Group has transferred to the customer before payment is due. For the loans facilitated with borrowers who have the early repayment options and the Group will not request for the remaining monthly service fees, the Group’s right to consideration for the service fees of facilitation service is conditional on whether or not the borrowers repay in advance. In these instances, the Group records a corresponding contract asset when recognizing revenue from loan facilitation service. The Group only recognizes accounts receivable and contract assets to the extent that the Group believes it is probable that it will collect substantially all of the consideration to which it will be entitled to in exchange for the services transferred to the customer.</w:t>
      </w:r>
    </w:p>
    <w:p>
      <w:pPr>
        <w:spacing w:after="0" w:line="79" w:lineRule="exact"/>
        <w:rPr>
          <w:sz w:val="20"/>
          <w:szCs w:val="20"/>
          <w:color w:val="auto"/>
        </w:rPr>
      </w:pPr>
    </w:p>
    <w:p>
      <w:pPr>
        <w:jc w:val="both"/>
        <w:ind w:left="520"/>
        <w:spacing w:after="0" w:line="263" w:lineRule="auto"/>
        <w:rPr>
          <w:sz w:val="20"/>
          <w:szCs w:val="20"/>
          <w:color w:val="auto"/>
        </w:rPr>
      </w:pPr>
      <w:r>
        <w:rPr>
          <w:rFonts w:ascii="Times New Roman" w:cs="Times New Roman" w:eastAsia="Times New Roman" w:hAnsi="Times New Roman"/>
          <w:sz w:val="18"/>
          <w:szCs w:val="18"/>
          <w:color w:val="auto"/>
        </w:rPr>
        <w:t>Accounts receivable and contract assets are stated at the historical carrying amount net of write-offs and allowance for collectability in accordance with ASC Topic 326. The Group established an allowance for receivables and contract assets based on estimates, which incorporate historical experience and other factors surrounding the credit risk of specific type of customers. The Group evaluates and adjusts its allowance for receivables and contract assets on a quarterly basis or more often as necessary. Revenue recognized for the years ended December 31, 2023, 2024 and 2025 from performance obligations satisfied (or partially satisfied) in prior periods pertaining to adjustments to variable consideration due to the change of estimated receivables, change of estimated prepayment rate and referral fees was immaterial.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Group determines that the acquisition cost paid based on the amount of loans facilitated represents costs to obtain a contract qualifying for capitalization since these payments are directly related to sales achieved during a period. The Group elects to expense such expenses when incurred as the amortization period would have been less than a year.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79" w:name="page180"/>
    <w:bookmarkEnd w:id="179"/>
    <w:p>
      <w:pPr>
        <w:ind w:left="512" w:hanging="512"/>
        <w:spacing w:after="0"/>
        <w:tabs>
          <w:tab w:leader="none" w:pos="512"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12" w:hanging="503"/>
        <w:spacing w:after="0"/>
        <w:tabs>
          <w:tab w:leader="none" w:pos="1012" w:val="left"/>
        </w:tabs>
        <w:numPr>
          <w:ilvl w:val="1"/>
          <w:numId w:val="1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defined contribution plan</w:t>
      </w:r>
    </w:p>
    <w:p>
      <w:pPr>
        <w:spacing w:after="0" w:line="121" w:lineRule="exact"/>
        <w:rPr>
          <w:sz w:val="20"/>
          <w:szCs w:val="20"/>
          <w:color w:val="auto"/>
        </w:rPr>
      </w:pPr>
    </w:p>
    <w:p>
      <w:pPr>
        <w:jc w:val="both"/>
        <w:ind w:left="512"/>
        <w:spacing w:after="0" w:line="258" w:lineRule="auto"/>
        <w:rPr>
          <w:sz w:val="20"/>
          <w:szCs w:val="20"/>
          <w:color w:val="auto"/>
        </w:rPr>
      </w:pPr>
      <w:r>
        <w:rPr>
          <w:rFonts w:ascii="Times New Roman" w:cs="Times New Roman" w:eastAsia="Times New Roman" w:hAnsi="Times New Roman"/>
          <w:sz w:val="18"/>
          <w:szCs w:val="18"/>
          <w:color w:val="auto"/>
        </w:rPr>
        <w:t>Full time employees of the Group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Group makes contributions to the government for these benefits based on a certain percentage of the employee’s salaries. The Group has no legal obligation for the benefits beyond the contributions. The total amount that was expensed as incurred was RMB94,300, RMB114,374 and RMB133,934 for the years ended December 31, 2023, 2024 and 2025, respectively.</w:t>
      </w:r>
    </w:p>
    <w:p>
      <w:pPr>
        <w:spacing w:after="0" w:line="71" w:lineRule="exact"/>
        <w:rPr>
          <w:sz w:val="20"/>
          <w:szCs w:val="20"/>
          <w:color w:val="auto"/>
        </w:rPr>
      </w:pPr>
    </w:p>
    <w:p>
      <w:pPr>
        <w:ind w:left="1012" w:hanging="503"/>
        <w:spacing w:after="0"/>
        <w:tabs>
          <w:tab w:leader="none" w:pos="1012" w:val="left"/>
        </w:tabs>
        <w:numPr>
          <w:ilvl w:val="0"/>
          <w:numId w:val="1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Facilitation and servicing expense</w:t>
      </w:r>
    </w:p>
    <w:p>
      <w:pPr>
        <w:spacing w:after="0" w:line="121"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Facilitation and servicing expenses primarily consist of variable expenses including costs related to back-to-back guarantee service fee to third-party companies, credit assessment, user and system support, payment processing services and collection, associated with facilitating and servicing loans, salaries and benefits and share-based compensation for the personnel who work on credit assessment, data processing and analysis, loan facilitation, user and system support.</w:t>
      </w:r>
    </w:p>
    <w:p>
      <w:pPr>
        <w:spacing w:after="0" w:line="68" w:lineRule="exact"/>
        <w:rPr>
          <w:sz w:val="20"/>
          <w:szCs w:val="20"/>
          <w:color w:val="auto"/>
        </w:rPr>
      </w:pPr>
    </w:p>
    <w:p>
      <w:pPr>
        <w:ind w:left="1012" w:hanging="503"/>
        <w:spacing w:after="0"/>
        <w:tabs>
          <w:tab w:leader="none" w:pos="1012" w:val="left"/>
        </w:tabs>
        <w:numPr>
          <w:ilvl w:val="0"/>
          <w:numId w:val="1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left="512"/>
        <w:spacing w:after="0" w:line="255" w:lineRule="auto"/>
        <w:rPr>
          <w:sz w:val="20"/>
          <w:szCs w:val="20"/>
          <w:color w:val="auto"/>
        </w:rPr>
      </w:pPr>
      <w:r>
        <w:rPr>
          <w:rFonts w:ascii="Times New Roman" w:cs="Times New Roman" w:eastAsia="Times New Roman" w:hAnsi="Times New Roman"/>
          <w:sz w:val="18"/>
          <w:szCs w:val="18"/>
          <w:color w:val="auto"/>
        </w:rPr>
        <w:t>Sales and marketing expenses primarily consist of variable marketing and promotional expenses, including those expenses related to acquisition and retention of borrowers and institutional funding partners, and general brand and awareness building. Salaries and benefits expenses as well as share-based compensation related to the Group’s sales and marketing personnel and other expenses related to the Group’s sales and marketing team are also included in the sales and marketing expenses. The Group’s borrower acquisition expenses include charges by third-party online channels for online marketing services such as search engine marketing, search engine optimization, information feeds, and referral fees charged by other parties relating to borrower acquisition. The Group expenses all advertising costs as incurred and classifies these costs under sales and marketing expenses. For the years ended December 31, 2023, 2024 and 2025, the advertising expenses were RMB12,658, RMB12,855 and RMB12,474, respectively.</w:t>
      </w:r>
    </w:p>
    <w:p>
      <w:pPr>
        <w:spacing w:after="0" w:line="77" w:lineRule="exact"/>
        <w:rPr>
          <w:sz w:val="20"/>
          <w:szCs w:val="20"/>
          <w:color w:val="auto"/>
        </w:rPr>
      </w:pPr>
    </w:p>
    <w:p>
      <w:pPr>
        <w:ind w:left="1012" w:hanging="503"/>
        <w:spacing w:after="0"/>
        <w:tabs>
          <w:tab w:leader="none" w:pos="1012" w:val="left"/>
        </w:tabs>
        <w:numPr>
          <w:ilvl w:val="0"/>
          <w:numId w:val="1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12"/>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consist of salaries and other compensation expenses for employees engaged in research and development activities, technology infrastructure expenses and server expenses.</w:t>
      </w:r>
    </w:p>
    <w:p>
      <w:pPr>
        <w:spacing w:after="0" w:line="50" w:lineRule="exact"/>
        <w:rPr>
          <w:sz w:val="20"/>
          <w:szCs w:val="20"/>
          <w:color w:val="auto"/>
        </w:rPr>
      </w:pPr>
    </w:p>
    <w:p>
      <w:pPr>
        <w:ind w:left="1012" w:hanging="503"/>
        <w:spacing w:after="0"/>
        <w:tabs>
          <w:tab w:leader="none" w:pos="1012" w:val="left"/>
        </w:tabs>
        <w:numPr>
          <w:ilvl w:val="0"/>
          <w:numId w:val="1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Government grant</w:t>
      </w:r>
    </w:p>
    <w:p>
      <w:pPr>
        <w:spacing w:after="0" w:line="121" w:lineRule="exact"/>
        <w:rPr>
          <w:sz w:val="20"/>
          <w:szCs w:val="20"/>
          <w:color w:val="auto"/>
        </w:rPr>
      </w:pPr>
    </w:p>
    <w:p>
      <w:pPr>
        <w:jc w:val="both"/>
        <w:ind w:left="512"/>
        <w:spacing w:after="0" w:line="258" w:lineRule="auto"/>
        <w:rPr>
          <w:sz w:val="20"/>
          <w:szCs w:val="20"/>
          <w:color w:val="auto"/>
        </w:rPr>
      </w:pPr>
      <w:r>
        <w:rPr>
          <w:rFonts w:ascii="Times New Roman" w:cs="Times New Roman" w:eastAsia="Times New Roman" w:hAnsi="Times New Roman"/>
          <w:sz w:val="18"/>
          <w:szCs w:val="18"/>
          <w:color w:val="auto"/>
        </w:rPr>
        <w:t>Government grants are primarily referred to the amounts received from various levels of local governments from time to time which are granted for general corporate purposes and to support its ongoing operations in the region. The grants are determined at the discretion of the relevant government authority and there are no restrictions on their use. The government subsidies are recorded as other income in the period the cash is received and when all the conditions for their receipt have been satisfied. The government grants received by the Group amount to RMB15,398, RMB28,165 and RMB61,229 for the years ended December 31, 2023, 2024 and 2025, respectively.</w:t>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9" w:right="339" w:bottom="1440" w:gutter="0" w:footer="0" w:header="0"/>
        </w:sectPr>
      </w:pPr>
    </w:p>
    <w:bookmarkStart w:id="180" w:name="page181"/>
    <w:bookmarkEnd w:id="180"/>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 authorities.</w:t>
      </w:r>
    </w:p>
    <w:p>
      <w:pPr>
        <w:spacing w:after="0" w:line="117"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 than not that a portion of or all of the deferred tax assets will not be realized.</w:t>
      </w:r>
    </w:p>
    <w:p>
      <w:pPr>
        <w:spacing w:after="0" w:line="8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Group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 Interest and penalties on income taxes will be classified as a component of the provisions for income taxes.</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Group is subject to tax in local and foreign jurisdictions. As a result of its business activities, the Group will file tax returns that are subject to examination by the relevant tax authorities. Tax returns of the Group's major subsidiaries in PRC, Hong Kong, Singapore and Indonesia remain subject to examination by relevant tax authorities for five years, seven years, four years, five years and indefinite years, respectively, from the date of filing.</w:t>
      </w:r>
    </w:p>
    <w:p>
      <w:pPr>
        <w:spacing w:after="0" w:line="72"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In accordance with the EIT Law, dividends, which arise from profits of foreign invested enterprises (“FIEs”) earned after January 1, 2008, are subject to a 10% withholding income tax.</w:t>
      </w:r>
    </w:p>
    <w:p>
      <w:pPr>
        <w:spacing w:after="0" w:line="50" w:lineRule="exact"/>
        <w:rPr>
          <w:sz w:val="20"/>
          <w:szCs w:val="20"/>
          <w:color w:val="auto"/>
        </w:rPr>
      </w:pPr>
    </w:p>
    <w:p>
      <w:pPr>
        <w:ind w:left="1020" w:hanging="503"/>
        <w:spacing w:after="0"/>
        <w:tabs>
          <w:tab w:leader="none" w:pos="1020" w:val="left"/>
        </w:tabs>
        <w:numPr>
          <w:ilvl w:val="0"/>
          <w:numId w:val="1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Comprehensive income is defined to include all changes in equity of the Group during a period arising from transactions and other events and circumstances excluding transactions resulting from investments by shareholders and distributions to shareholders. During the periods presented, comprehensive income is reported on the consolidated statements of operations and comprehensive income, and other comprehensive loss includes foreign currency translation adjustments and fair value changes of available-for-sale debt securities.</w:t>
      </w:r>
    </w:p>
    <w:p>
      <w:pPr>
        <w:spacing w:after="0" w:line="68" w:lineRule="exact"/>
        <w:rPr>
          <w:sz w:val="20"/>
          <w:szCs w:val="20"/>
          <w:color w:val="auto"/>
        </w:rPr>
      </w:pPr>
    </w:p>
    <w:p>
      <w:pPr>
        <w:ind w:left="1020" w:hanging="503"/>
        <w:spacing w:after="0"/>
        <w:tabs>
          <w:tab w:leader="none" w:pos="1020" w:val="left"/>
        </w:tabs>
        <w:numPr>
          <w:ilvl w:val="0"/>
          <w:numId w:val="1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per share</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Basic income per share is computed by dividing net income attributable to holders of ordinary shares by the weighted average number of ordinary shares outstanding during the period.</w:t>
      </w:r>
    </w:p>
    <w:p>
      <w:pPr>
        <w:spacing w:after="0" w:line="54"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Diluted income per ordinary share reflects the potential dilution that could occur if securities or other contracts to issue ordinary shares were exercised or converted into ordinary shares. Ordinary share equivalents of stock options are calculated using the treasury stock method. Ordinary share equivalents are excluded from the computation in income periods should their effects be anti-dilutive.</w:t>
      </w:r>
    </w:p>
    <w:p>
      <w:pPr>
        <w:spacing w:after="0" w:line="64" w:lineRule="exact"/>
        <w:rPr>
          <w:sz w:val="20"/>
          <w:szCs w:val="20"/>
          <w:color w:val="auto"/>
        </w:rPr>
      </w:pPr>
    </w:p>
    <w:p>
      <w:pPr>
        <w:ind w:left="1020" w:hanging="503"/>
        <w:spacing w:after="0"/>
        <w:tabs>
          <w:tab w:leader="none" w:pos="1020" w:val="left"/>
        </w:tabs>
        <w:numPr>
          <w:ilvl w:val="0"/>
          <w:numId w:val="1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spacing w:after="0" w:line="54"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Group operates and manages its business as a single operating and reportable segment. The Group’s CODM has been identified as the Chief Executive Officer who reviews the consolidated net income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1" w:name="page182"/>
    <w:bookmarkEnd w:id="181"/>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long-lived assets are substantially all located in the PRC and substantially all of the Group’s revenues are derived from within the PRC.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Therefore, no geographical segments are presented.</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(aa)  Operating leases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Group leases administrative office spaces under operating leases and accounts for the leases under ASC 842. The Group determines whether an arrangement constitutes a lease and records lease liabilities and right-of-use assets on its consolidated balance sheets at the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discount rate used to determine the present value of the future lease payments is the Group’s incremental borrowing rate, because the interest rate implicit in most of the Group’s leases is not readily determinable. The Group’s incremental borrowing rate represents the rate would be incurred to borrow on a collateralized basis over a similar term for an amount equal to the lease payments in a similar economic environment. As of December 31, 2025, the Group’s operating leases had a weighted average remaining lease term of 1.3 years and a weighted average discount rate of 3.98%. The Group measures right-of-use assets based on the corresponding lease liability adjusted for payments made to the lessor at or before the commencement date, and initial direct costs it incurs under the lease. The Group considers only payments that are fixed and determinable at the time of lease commencement. The Group begins recognizing operating lease expense when the lessor makes the underlying asset available to the Group. After considering the factors that create an economic incentive, the Group did not include renewal option periods in the lease term for which it is not reasonably certain to exercise.</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Additionally, the Group elects not to recognize lease with lease term of 12 months or less at the commencement date in the consolidated balance sheets and records its operating lease expense in its consolidated statements of operations and comprehensive income on a straight-line basis over the lease term. Operating lease expenses (including fixed lease cost and short-term lease cost) were RMB22,654, RMB25,327 and RMB25,827 for the years ended December 31, 2023, 2024 and 2025, respectively. Total lease expense related to short-term leases was RMB1,621, RMB1,770 and RMB149 for the years ended December 31, 2023, 2024 and 2025, respectively.</w:t>
      </w:r>
    </w:p>
    <w:p>
      <w:pPr>
        <w:spacing w:after="0" w:line="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(ab)  Treasury shares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Group accounts for treasury shares using the cost method. Under this method, the cost incurred to purchase the shares is recorded in the treasury shares account in the consolidated balance sheets. When treasury shares are retired or repurchased for constructive retirement, the excess of repurchase price over par or stated value is accounted for entirely as a deduction from additional paid-in capital.</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(ac)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of the Company are recognized when declared.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  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 adopted Accounting pronouncement</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Improvements to Income Tax Disclosures (Topic 740). The ASU requires disaggregated information about a reporting entity’s effective tax rate reconciliation as well as additional information on income taxes paid. The Group adopted this ASU on a prospective basis effective from January 1, 2025. The required information has been disclosed in Note 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2" w:name="page183"/>
    <w:bookmarkEnd w:id="182"/>
    <w:p>
      <w:pPr>
        <w:ind w:left="520" w:right="5160" w:hanging="512"/>
        <w:spacing w:after="0" w:line="376" w:lineRule="auto"/>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(ad) Recent accounting pronouncements - </w:t>
      </w:r>
      <w:r>
        <w:rPr>
          <w:rFonts w:ascii="Times New Roman" w:cs="Times New Roman" w:eastAsia="Times New Roman" w:hAnsi="Times New Roman"/>
          <w:sz w:val="18"/>
          <w:szCs w:val="18"/>
          <w:color w:val="auto"/>
        </w:rPr>
        <w:t>continued</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 Accounting pronouncement Not Yet Adopted</w:t>
      </w:r>
    </w:p>
    <w:p>
      <w:pPr>
        <w:spacing w:after="0" w:line="119" w:lineRule="exact"/>
        <w:rPr>
          <w:rFonts w:ascii="Times New Roman" w:cs="Times New Roman" w:eastAsia="Times New Roman" w:hAnsi="Times New Roman"/>
          <w:sz w:val="18"/>
          <w:szCs w:val="18"/>
          <w:b w:val="1"/>
          <w:bCs w:val="1"/>
          <w:color w:val="auto"/>
        </w:rPr>
      </w:pPr>
    </w:p>
    <w:p>
      <w:pPr>
        <w:jc w:val="both"/>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No.2024-03, Income Statement—Reporting Comprehensive Income—Expense Disaggregation Disclosures (Subtopic 220-40). The amendments in this update intend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captions(such as cost of sales, selling, general and administrative expenses, and research and development). In January 2025, the FASB issued ASU No. 2025 - 01, which clarifies the effective date of ASU No. 2024 - 03. The guidance is effective for annual reporting periods beginning after December 15, 2026, and interim reporting periods beginning after December 15, 2027. Early adoption is permitted. The Group is currently evaluating the impact from the adoption of this ASU on its consolidated financial statements.</w:t>
      </w:r>
    </w:p>
    <w:p>
      <w:pPr>
        <w:spacing w:after="0" w:line="151"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2025, the FASB issued ASU No. 2025-05, Financial Instruments—Credit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classified accounts receivable and contract assets. This update is effective for annual periods beginning after December 15, 2025, including interim periods within those fiscal years. Adoption of this ASU can be applied prospectively for reporting periods after its effective date. Early adoption is permitted. The Group is currently evaluating the impact from the adoption of this ASU on its consolidated financial statements.</w:t>
      </w:r>
    </w:p>
    <w:p>
      <w:pPr>
        <w:spacing w:after="0" w:line="160"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The ASU establishes authoritative guidance in GAAP about accounting for government grants received by business 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a modified prospective approach, a modified retrospective approach, or a retrospective approach. Early adoption is permitted. The Group is currently evaluating the impact from the adoption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3" w:name="page184"/>
    <w:bookmarkEnd w:id="183"/>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CONTRACT ASSETS,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accounts receivable and contract assets as of December 31, 2024 and 2025:</w:t>
      </w:r>
    </w:p>
    <w:p>
      <w:pPr>
        <w:spacing w:after="0" w:line="1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7620</wp:posOffset>
            </wp:positionV>
            <wp:extent cx="17399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7760"/>
        <w:spacing w:after="0"/>
        <w:tabs>
          <w:tab w:leader="none" w:pos="9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wp:posOffset>
            </wp:positionV>
            <wp:extent cx="17399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ind w:left="7740"/>
        <w:spacing w:after="0" w:line="232" w:lineRule="auto"/>
        <w:tabs>
          <w:tab w:leader="none" w:pos="918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3,007,955</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3,756,510</w:t>
            </w: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(21,200)</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(23,833)</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accounts receivable and contract assets</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2,986,755</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3,732,677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movement of allowance for accounts receivable and contract assets for the years ended December 31, 2023, 2024 and 2025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720" w:type="dxa"/>
            <w:vAlign w:val="bottom"/>
            <w:tcBorders>
              <w:bottom w:val="single" w:sz="8" w:color="auto"/>
            </w:tcBorders>
            <w:gridSpan w:val="6"/>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0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16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00" w:type="dxa"/>
            <w:vAlign w:val="bottom"/>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2,539</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17,953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 credit losses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write off</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(2,539)</w:t>
            </w:r>
          </w:p>
        </w:tc>
        <w:tc>
          <w:tcPr>
            <w:tcW w:w="8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17,953</w:t>
            </w:r>
          </w:p>
        </w:tc>
        <w:tc>
          <w:tcPr>
            <w:tcW w:w="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23,833</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jc w:val="both"/>
        <w:ind w:left="520" w:right="5700" w:hanging="512"/>
        <w:spacing w:after="0" w:line="401" w:lineRule="auto"/>
        <w:tabs>
          <w:tab w:leader="none" w:pos="522"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PREPAID EXPENSES AND OTHER CURRENT ASSETS, NET </w:t>
      </w:r>
      <w:r>
        <w:rPr>
          <w:rFonts w:ascii="Times New Roman" w:cs="Times New Roman" w:eastAsia="Times New Roman" w:hAnsi="Times New Roman"/>
          <w:sz w:val="17"/>
          <w:szCs w:val="17"/>
          <w:color w:val="auto"/>
        </w:rPr>
        <w:t>Prepaid expenses and other current assets consisted of the followings: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2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6900" w:type="dxa"/>
            <w:vAlign w:val="bottom"/>
          </w:tcPr>
          <w:p>
            <w:pPr>
              <w:spacing w:after="0"/>
              <w:rPr>
                <w:sz w:val="17"/>
                <w:szCs w:val="17"/>
                <w:color w:val="auto"/>
              </w:rPr>
            </w:pPr>
          </w:p>
        </w:tc>
        <w:tc>
          <w:tcPr>
            <w:tcW w:w="144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40" w:type="dxa"/>
            <w:vAlign w:val="bottom"/>
            <w:tcBorders>
              <w:top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14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7"/>
                <w:szCs w:val="17"/>
                <w:color w:val="auto"/>
              </w:rPr>
            </w:pPr>
          </w:p>
        </w:tc>
        <w:tc>
          <w:tcPr>
            <w:tcW w:w="14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Deposits to a third-party company, net of credit loss*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854,605</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Receivable from third party companies**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589,760</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Security deposits, net of credit loss***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129,590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230,198</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137,209</w:t>
            </w:r>
          </w:p>
        </w:tc>
        <w:tc>
          <w:tcPr>
            <w:tcW w:w="120" w:type="dxa"/>
            <w:vAlign w:val="bottom"/>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370,128</w:t>
            </w:r>
          </w:p>
        </w:tc>
        <w:tc>
          <w:tcPr>
            <w:tcW w:w="2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1,811,772</w:t>
            </w:r>
          </w:p>
        </w:tc>
        <w:tc>
          <w:tcPr>
            <w:tcW w:w="12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balances represent the temporary financial supports to a third-party company as deposits. As of December 31, 2025, allowances for credit loss for deposits to this third-party company were RMB9,784. Provision for credit loss of RMB9,784 was recorded for the year ended December 31, 2025.</w:t>
      </w:r>
    </w:p>
    <w:p>
      <w:pPr>
        <w:spacing w:after="0" w:line="6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balances represent the receivables from the third-party companies in relation to the back-to-back guarantee services provided to the Group (see Note 2(k)), including RMB132,920 and RMB502,491 of receivables from aforementioned third-party company as of December 31, 2024 and 2025, respectively.</w:t>
      </w:r>
    </w:p>
    <w:p>
      <w:pPr>
        <w:spacing w:after="0" w:line="68"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balances represent security deposits set aside as requested by certain institutional funding partners for provision of the primary guarantee. Starting from year 2024, majority of the new guarantee services provided by the Group is through its own licensed financing guarantee subsidiary. Under these agreements, the deposits are placed in funding banks, which are recorded under “Restricted cash” (see Note 2(k)). As of December 31, 2024 and 2025, allowances for credit loss for s</w:t>
      </w:r>
      <w:r>
        <w:rPr>
          <w:rFonts w:ascii="Times New Roman" w:cs="Times New Roman" w:eastAsia="Times New Roman" w:hAnsi="Times New Roman"/>
          <w:sz w:val="16"/>
          <w:szCs w:val="16"/>
          <w:color w:val="auto"/>
        </w:rPr>
        <w:t>ecurity deposits</w:t>
      </w:r>
      <w:r>
        <w:rPr>
          <w:rFonts w:ascii="Times New Roman" w:cs="Times New Roman" w:eastAsia="Times New Roman" w:hAnsi="Times New Roman"/>
          <w:sz w:val="18"/>
          <w:szCs w:val="18"/>
          <w:color w:val="auto"/>
        </w:rPr>
        <w:t xml:space="preserve"> were RMB771 and RMB1,065, respectively. Provision (reversal) for credit loss of RMB6,838, RMB(6,067) and RMB294, were recorded for security deposits for the years ended December 31, 2023, 2024 and 2025, respectively.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4" w:name="page185"/>
    <w:bookmarkEnd w:id="184"/>
    <w:p>
      <w:pPr>
        <w:spacing w:after="0" w:line="136"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20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69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900" w:type="dxa"/>
            <w:vAlign w:val="bottom"/>
          </w:tcPr>
          <w:p>
            <w:pPr>
              <w:spacing w:after="0"/>
              <w:rPr>
                <w:sz w:val="17"/>
                <w:szCs w:val="17"/>
                <w:color w:val="auto"/>
              </w:rPr>
            </w:pPr>
          </w:p>
        </w:tc>
        <w:tc>
          <w:tcPr>
            <w:tcW w:w="14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7"/>
                <w:szCs w:val="17"/>
                <w:color w:val="auto"/>
              </w:rPr>
            </w:pPr>
          </w:p>
        </w:tc>
        <w:tc>
          <w:tcPr>
            <w:tcW w:w="14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 building</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1,327,854</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Electronic equipment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125,361</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91,615</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 equipment &amp; furniture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17,035</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20,618</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20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tcPr>
          <w:p>
            <w:pPr>
              <w:spacing w:after="0"/>
              <w:rPr>
                <w:sz w:val="17"/>
                <w:szCs w:val="17"/>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costs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146,499</w:t>
            </w: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1,444,552</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(102,102)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(117,609)</w:t>
            </w:r>
          </w:p>
        </w:tc>
      </w:tr>
      <w:tr>
        <w:trPr>
          <w:trHeight w:val="23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44,397</w:t>
            </w:r>
          </w:p>
        </w:tc>
        <w:tc>
          <w:tcPr>
            <w:tcW w:w="2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1,326,943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2023, 2024 and 2025, depreciation expenses were RMB9,461, RMB17,782 and RMB70,903 respectively.</w:t>
      </w:r>
    </w:p>
    <w:p>
      <w:pPr>
        <w:spacing w:after="0" w:line="117"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Group entered into a definitive agreement to purchase certain commercial property in December 2024, and completed the purchase of, and obtained title to, the commercial property in March 2025.</w:t>
      </w:r>
    </w:p>
    <w:p>
      <w:pPr>
        <w:spacing w:after="0" w:line="374"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 NET</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2020, the Group, through its subsidiary, Geerong, and another independent purchaser entered into a share purchase agreement with China Smartpay Group Holdings Limited (“China Smartpay”), to acquire 35 ordinary shares of Keen Best Investment Limited (“Keen Best”), representing 35% equity interest in Keen Best, a wholly-owned subsidiary of China Smartpay for an amount of RMB91,957. During the year ended December 31, 2023, the Group was no longer able to exert significant influence over Keen Best and reclassified the investment from equity method to measurement alternative, i.e. cost less impairment, plus or minus qualifying observable price changes. Considering the business forecast of the investee, the Group fully impaired this investment in 2023. In 2024, the Group received a distribution upon unwind of Keen Best of RMB69,018 and recorded in “Other income, net” in the consolidated statements of operations.</w:t>
      </w:r>
    </w:p>
    <w:p>
      <w:pPr>
        <w:spacing w:after="0" w:line="80"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purchased two convertible notes totaling RMB51,006 in 2022 and 2023 from PT Rumah Inovasi JET (“JET”), which is entitled to certain redemption rights and conversion rights on or before the maturity date. The Group accounts for its investments in as “available-for-sale” and measured the fair value at each period end. The unrealized holding gains and losses for available-for-sale securities are reported in other comprehensive income until realized.</w:t>
      </w:r>
    </w:p>
    <w:p>
      <w:pPr>
        <w:spacing w:after="0" w:line="71"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Group purchased 8% equity interest of Emprende Conmovi, S.A. DE C.V., Sofom, Enr (“EPD”), a Mexico Fintech company for consideration of US$0.5. During the year of 2023, the Group lent two loans of RMB44,709 with the annual interest rate of 10% to EPD. The Group does not have the ability to exert the significant influence the operations of this entity and accounts for this investment using measurement alternative, and loans at amortized cost, respectively. During the year of 2024, performance of EPD was below forecast and there were increased uncertainties around the local regulation environment. The Group took these indicators into consideration when assessing the recoverability of this investment and fully impaired the investment of RMB51,923 as of December 31, 2024.</w:t>
      </w:r>
    </w:p>
    <w:p>
      <w:pPr>
        <w:spacing w:after="0" w:line="79"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2024, the Group lent several loans totaling RMB97,577 with annual interest rate of 10% to PT Telekomunikasi Andalan Indonesia (“Teleko”). In 2025, the Group further lent several loans totaling RMB66,208 with annual interest rate of 10% to Teleko. The Group accounts for these investments at amortized cost.</w:t>
      </w:r>
    </w:p>
    <w:p>
      <w:pPr>
        <w:spacing w:after="0" w:line="67" w:lineRule="exact"/>
        <w:rPr>
          <w:rFonts w:ascii="Times New Roman" w:cs="Times New Roman" w:eastAsia="Times New Roman" w:hAnsi="Times New Roman"/>
          <w:sz w:val="18"/>
          <w:szCs w:val="18"/>
          <w:b w:val="1"/>
          <w:bCs w:val="1"/>
          <w:color w:val="auto"/>
        </w:rPr>
      </w:pPr>
    </w:p>
    <w:p>
      <w:pPr>
        <w:ind w:left="52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the Group lent several loans totaling RMB63,043 with annual interest rate of 5% to Liberty Fintech Pte Ltd.(“Liberty”). The Group accounts for this investment at amortized cost.</w:t>
      </w:r>
    </w:p>
    <w:p>
      <w:pPr>
        <w:spacing w:after="0" w:line="53" w:lineRule="exact"/>
        <w:rPr>
          <w:rFonts w:ascii="Times New Roman" w:cs="Times New Roman" w:eastAsia="Times New Roman" w:hAnsi="Times New Roman"/>
          <w:sz w:val="18"/>
          <w:szCs w:val="18"/>
          <w:b w:val="1"/>
          <w:bCs w:val="1"/>
          <w:color w:val="auto"/>
        </w:rPr>
      </w:pPr>
    </w:p>
    <w:p>
      <w:pPr>
        <w:jc w:val="both"/>
        <w:ind w:left="52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the Group lent several loans totaling RMB71,344 with annual interest rate of 8% to PT Kreatif Industri Persada (“KIP”), one subsidiary of JET and the investee repaid in full cash consideration of RMB73,021, of which RMB1,677 has been recorded as interest income. The Group accounts for this investment at amortized cost.</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2025, the Group acquired 21% equity interest of PT Sahabat Mikro Fintek(“Samir”), an oversea loan facilitation platform, for further development of oversea business, with the cash consideration of RMB1,166. The Group did not appoint any board members and does not have the ability to exert significant influence over the operations of this entity. This investment is correspondingly accounted for using measurement alternative.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ind w:left="520" w:hanging="512"/>
        <w:spacing w:after="0"/>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DISPOSALS AND DISSOLUTION OF SUBSIDIARIES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Group decided to dissolve Shanghai Wuxingjia. The book value of Shanghai Wuxingjia were mainly consisted of VAT and income tax payable accrued in previous years related to terminated P2P business. Upon receipt of the tax de-registration from the tax authority, the tax liabilities of approximately RMB280,231 were deemed to be waived, resulting in the recognition of a gain from de-recognition of liabilities on the consolidated statements of operation and comprehensive income. The remaining administrative procedures to dissolve Shanghai Wuxingjia were completed in April 2024.</w:t>
      </w:r>
    </w:p>
    <w:p>
      <w:pPr>
        <w:spacing w:after="0" w:line="75"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Jiayin Technology disposed of its 100% equity interest of Fujian Zhuoqun to Shenzhen Rongxinbao for an aggregate consideration of RMB391,870, in which RMB316,224 was settled by the existing payables the Group owed to Fujian Zhuoqun, RMB75,646 was settled with the existing payables the Group owed to Shenzhen Rongxinbao in connection with the disposal of Shanghai Caiyin in 2019. As a result, the Group recognized disposal loss of RMB2,012 upon the closing for the year ended December 31, 2023.</w:t>
      </w:r>
    </w:p>
    <w:p>
      <w:pPr>
        <w:spacing w:after="0" w:line="71"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2024, the Group disposed of its 100% equity interest of Giasun Technology Nigeria Limited (“Giasun”) and Quark Financials Nigeria Limited (“Quark”) to Fortunify International Holdings Pte. Ltd. (“Fortunify”). The total consideration was RMB21,866, which was net-settled by the receivables from Giasun and Quark. The consideration would be due in March 2028. The Group recorded the consideration at its present value of RMB18,814 as “Other non-current assets” on the consolidated statements and recognized disposal loss of RMB14,431 arising from the transaction. In 2025, the Group received cash consideration of RMB16,851. As of December 31, 2025, the remaining uncollected balance is RMB4,290.</w:t>
      </w:r>
    </w:p>
    <w:p>
      <w:pPr>
        <w:spacing w:after="0" w:line="79"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assessed and considered the revenue streams of these transactions did not represent a strategic shift that has a major effect on the Company’s operation and financial results. Therefore, none of these transactions are qualified as discontinued operations under ASC 205-20.</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6" w:name="page187"/>
    <w:bookmarkEnd w:id="186"/>
    <w:p>
      <w:pPr>
        <w:ind w:left="512" w:hanging="512"/>
        <w:spacing w:after="0"/>
        <w:tabs>
          <w:tab w:leader="none" w:pos="51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classification of the Group’s share-based compensation expenses:</w:t>
      </w:r>
    </w:p>
    <w:p>
      <w:pPr>
        <w:spacing w:after="0" w:line="111" w:lineRule="exact"/>
        <w:rPr>
          <w:sz w:val="20"/>
          <w:szCs w:val="20"/>
          <w:color w:val="auto"/>
        </w:rPr>
      </w:pPr>
    </w:p>
    <w:tbl>
      <w:tblPr>
        <w:tblLayout w:type="fixed"/>
        <w:tblInd w:w="572"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12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2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Facilitation and servicing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1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90,205</w:t>
            </w:r>
          </w:p>
        </w:tc>
        <w:tc>
          <w:tcPr>
            <w:tcW w:w="1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25,689</w:t>
            </w:r>
          </w:p>
        </w:tc>
        <w:tc>
          <w:tcPr>
            <w:tcW w:w="1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20" w:type="dxa"/>
            <w:vAlign w:val="bottom"/>
          </w:tcPr>
          <w:p>
            <w:pPr>
              <w:spacing w:after="0"/>
              <w:rPr>
                <w:sz w:val="18"/>
                <w:szCs w:val="18"/>
                <w:color w:val="auto"/>
              </w:rPr>
            </w:pPr>
          </w:p>
        </w:tc>
      </w:tr>
      <w:tr>
        <w:trPr>
          <w:trHeight w:val="249"/>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54,353</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59,122</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157,938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-25400</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-8255</wp:posOffset>
            </wp:positionV>
            <wp:extent cx="6032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-25400</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-8255</wp:posOffset>
            </wp:positionV>
            <wp:extent cx="603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-25400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-8255</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u w:val="single" w:color="auto"/>
          <w:color w:val="auto"/>
        </w:rPr>
        <w:t>Share Options</w:t>
      </w:r>
    </w:p>
    <w:p>
      <w:pPr>
        <w:spacing w:after="0" w:line="117"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In February 2019, the Group adopted the 2019 Share Incentive Plan (“2019 Plan”), effectively upon the completion of the Company’s initial public offering (“IPO”) to replace the 2016 Plan on a 4:1 ratio. The 2019 Plan contains performance vesting condition related to the operation results of the Group and the business department the grantee belongs to, as well as the grantee’s individual performance. The modification did not result in any incremental value. The shares to be issued under the 2019 Plan can be either new shares or treasury shares.</w:t>
      </w:r>
    </w:p>
    <w:p>
      <w:pPr>
        <w:spacing w:after="0" w:line="72" w:lineRule="exact"/>
        <w:rPr>
          <w:sz w:val="20"/>
          <w:szCs w:val="20"/>
          <w:color w:val="auto"/>
        </w:rPr>
      </w:pPr>
    </w:p>
    <w:p>
      <w:pPr>
        <w:jc w:val="both"/>
        <w:ind w:left="512"/>
        <w:spacing w:after="0" w:line="282" w:lineRule="auto"/>
        <w:rPr>
          <w:sz w:val="20"/>
          <w:szCs w:val="20"/>
          <w:color w:val="auto"/>
        </w:rPr>
      </w:pPr>
      <w:r>
        <w:rPr>
          <w:rFonts w:ascii="Times New Roman" w:cs="Times New Roman" w:eastAsia="Times New Roman" w:hAnsi="Times New Roman"/>
          <w:sz w:val="18"/>
          <w:szCs w:val="18"/>
          <w:color w:val="auto"/>
        </w:rPr>
        <w:t>In August 2021, the Group granted one batch options equivalent of 108,400 share options of Jiayin Group with the exercise price of RMB0.875 per Ordinary Shares to an employee pursuant to the 2019 Plan. The options were fully exercised in 2021.</w:t>
      </w:r>
    </w:p>
    <w:p>
      <w:pPr>
        <w:spacing w:after="0" w:line="54"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 options were granted during the years ended December 31, 2023, 2024 and 2025.</w:t>
      </w:r>
    </w:p>
    <w:p>
      <w:pPr>
        <w:spacing w:after="0" w:line="117" w:lineRule="exact"/>
        <w:rPr>
          <w:sz w:val="20"/>
          <w:szCs w:val="20"/>
          <w:color w:val="auto"/>
        </w:rPr>
      </w:pPr>
    </w:p>
    <w:p>
      <w:pPr>
        <w:jc w:val="both"/>
        <w:ind w:left="512"/>
        <w:spacing w:after="0" w:line="266" w:lineRule="auto"/>
        <w:rPr>
          <w:sz w:val="20"/>
          <w:szCs w:val="20"/>
          <w:color w:val="auto"/>
        </w:rPr>
      </w:pPr>
      <w:r>
        <w:rPr>
          <w:rFonts w:ascii="Times New Roman" w:cs="Times New Roman" w:eastAsia="Times New Roman" w:hAnsi="Times New Roman"/>
          <w:sz w:val="18"/>
          <w:szCs w:val="18"/>
          <w:color w:val="auto"/>
        </w:rPr>
        <w:t>Total share-based compensation cost for the Share Options amounted to RMB4,380, RMB39 and nil for the years ended December 31, 2023, 2024 and 2025, respectively. As of December 31, 2025, there was nil in total unrecognized compensation cost, net of estimated forfeitures, related to non-vested stock options.</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9" w:right="339" w:bottom="1440" w:gutter="0" w:footer="0" w:header="0"/>
        </w:sectPr>
      </w:pPr>
    </w:p>
    <w:bookmarkStart w:id="187" w:name="page188"/>
    <w:bookmarkEnd w:id="187"/>
    <w:p>
      <w:pPr>
        <w:ind w:left="520" w:right="7020" w:hanging="512"/>
        <w:spacing w:after="0" w:line="378" w:lineRule="auto"/>
        <w:tabs>
          <w:tab w:leader="none" w:pos="52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Restricted Share Units ("RSUs”)</w:t>
      </w: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granted RSUs under 2019 plan which vested upon satisfaction of both service-based vesting conditions and performance-based vesting conditions. Performance-based RSUs vest in certain installments after the grant letter date, pending certification of performance achievement by the management and continued service. The fair value of performance-condition awards is based on the closing market price of the Group’s common stock on the grant date. The Group recorded share-based compensation expense for RSUs over the requisite service period when the performance condition is probable to meet and accounted for forfeitures as they occur.</w:t>
      </w:r>
    </w:p>
    <w:p>
      <w:pPr>
        <w:spacing w:after="0" w:line="75"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summary of the RSUs activities in 2025 is as follows:</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4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4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1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9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w w:val="98"/>
              </w:rPr>
              <w:t>(1,960)</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603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Total share-based compensation cost for the RSUs amounted to RMB49,973, RMB59,083 and RMB157,938 for the years ended December 31, 2023, 2024 and 2025, respectively. During the year ended December 31, 2025, 1,960 share units were exercised with an aggregate intrinsic value of RMB157,938. As of December 31, 2025, there was nil in total unrecognized compensation cost related to RSUs.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88" w:name="page189"/>
    <w:bookmarkEnd w:id="188"/>
    <w:p>
      <w:pPr>
        <w:ind w:left="512" w:hanging="512"/>
        <w:spacing w:after="0"/>
        <w:tabs>
          <w:tab w:leader="none" w:pos="512"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ectPr>
          <w:pgSz w:w="11900" w:h="16838" w:orient="portrait"/>
          <w:cols w:equalWidth="0" w:num="1">
            <w:col w:w="11232"/>
          </w:cols>
          <w:pgMar w:left="328" w:top="1359" w:right="339" w:bottom="1440" w:gutter="0" w:footer="0" w:header="0"/>
        </w:sectPr>
      </w:pPr>
    </w:p>
    <w:p>
      <w:pPr>
        <w:spacing w:after="0" w:line="13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Income (loss) by tax jurisdictions:</w:t>
      </w:r>
    </w:p>
    <w:p>
      <w:pPr>
        <w:spacing w:after="0" w:line="200" w:lineRule="exact"/>
        <w:rPr>
          <w:sz w:val="20"/>
          <w:szCs w:val="20"/>
          <w:color w:val="auto"/>
        </w:rPr>
      </w:pPr>
    </w:p>
    <w:p>
      <w:pPr>
        <w:spacing w:after="0" w:line="390"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Income from Chinese Mainland operations</w:t>
      </w:r>
    </w:p>
    <w:p>
      <w:pPr>
        <w:spacing w:after="0" w:line="27"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7"/>
          <w:szCs w:val="17"/>
          <w:color w:val="auto"/>
        </w:rPr>
        <w:t>(Loss) income from non-Chinese Mainland operations</w:t>
      </w:r>
    </w:p>
    <w:p>
      <w:pPr>
        <w:spacing w:after="0" w:line="21" w:lineRule="exact"/>
        <w:rPr>
          <w:sz w:val="20"/>
          <w:szCs w:val="20"/>
          <w:color w:val="auto"/>
        </w:rPr>
      </w:pPr>
    </w:p>
    <w:p>
      <w:pPr>
        <w:ind w:left="712" w:right="1480" w:hanging="134"/>
        <w:spacing w:after="0" w:line="276" w:lineRule="auto"/>
        <w:rPr>
          <w:sz w:val="20"/>
          <w:szCs w:val="20"/>
          <w:color w:val="auto"/>
        </w:rPr>
      </w:pPr>
      <w:r>
        <w:rPr>
          <w:rFonts w:ascii="Times New Roman" w:cs="Times New Roman" w:eastAsia="Times New Roman" w:hAnsi="Times New Roman"/>
          <w:sz w:val="18"/>
          <w:szCs w:val="18"/>
          <w:b w:val="1"/>
          <w:bCs w:val="1"/>
          <w:color w:val="auto"/>
        </w:rPr>
        <w:t>Income before income taxes and share of income from equity method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20" w:type="dxa"/>
            <w:vAlign w:val="bottom"/>
            <w:tcBorders>
              <w:top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2"/>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24"/>
        </w:trPr>
        <w:tc>
          <w:tcPr>
            <w:tcW w:w="1220" w:type="dxa"/>
            <w:vAlign w:val="bottom"/>
            <w:tcBorders>
              <w:top w:val="single" w:sz="8" w:color="auto"/>
            </w:tcBorders>
          </w:tcPr>
          <w:p>
            <w:pPr>
              <w:jc w:val="right"/>
              <w:ind w:right="357"/>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1240" w:type="dxa"/>
            <w:vAlign w:val="bottom"/>
            <w:tcBorders>
              <w:top w:val="single" w:sz="8" w:color="auto"/>
            </w:tcBorders>
          </w:tcPr>
          <w:p>
            <w:pPr>
              <w:jc w:val="right"/>
              <w:ind w:right="377"/>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1240" w:type="dxa"/>
            <w:vAlign w:val="bottom"/>
            <w:tcBorders>
              <w:top w:val="single" w:sz="8" w:color="auto"/>
            </w:tcBorders>
          </w:tcPr>
          <w:p>
            <w:pPr>
              <w:jc w:val="right"/>
              <w:ind w:right="379"/>
              <w:spacing w:after="0" w:line="124"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0"/>
                <w:szCs w:val="10"/>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1,631,882</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1,892,631</w:t>
            </w:r>
          </w:p>
        </w:tc>
        <w:tc>
          <w:tcPr>
            <w:tcW w:w="60" w:type="dxa"/>
            <w:vAlign w:val="bottom"/>
          </w:tcPr>
          <w:p>
            <w:pPr>
              <w:spacing w:after="0"/>
              <w:rPr>
                <w:sz w:val="18"/>
                <w:szCs w:val="18"/>
                <w:color w:val="auto"/>
              </w:rPr>
            </w:pPr>
          </w:p>
        </w:tc>
      </w:tr>
      <w:tr>
        <w:trPr>
          <w:trHeight w:val="234"/>
        </w:trPr>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(19,246)</w:t>
            </w:r>
          </w:p>
        </w:tc>
      </w:tr>
      <w:tr>
        <w:trPr>
          <w:trHeight w:val="385"/>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1,547,182</w:t>
            </w:r>
          </w:p>
        </w:tc>
        <w:tc>
          <w:tcPr>
            <w:tcW w:w="18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1,295,368</w:t>
            </w:r>
          </w:p>
        </w:tc>
        <w:tc>
          <w:tcPr>
            <w:tcW w:w="18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1,873,385</w:t>
            </w:r>
          </w:p>
        </w:tc>
        <w:tc>
          <w:tcPr>
            <w:tcW w:w="60" w:type="dxa"/>
            <w:vAlign w:val="bottom"/>
          </w:tcPr>
          <w:p>
            <w:pPr>
              <w:spacing w:after="0"/>
              <w:rPr>
                <w:sz w:val="24"/>
                <w:szCs w:val="24"/>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-3761740</wp:posOffset>
            </wp:positionH>
            <wp:positionV relativeFrom="paragraph">
              <wp:posOffset>-556895</wp:posOffset>
            </wp:positionV>
            <wp:extent cx="6412230" cy="1371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-3761740</wp:posOffset>
            </wp:positionH>
            <wp:positionV relativeFrom="paragraph">
              <wp:posOffset>-273685</wp:posOffset>
            </wp:positionV>
            <wp:extent cx="6412230" cy="274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5772" w:space="720"/>
            <w:col w:w="4740"/>
          </w:cols>
          <w:pgMar w:left="328" w:top="1359" w:right="339" w:bottom="1440" w:gutter="0" w:footer="0" w:header="0"/>
          <w:type w:val="continuous"/>
        </w:sectPr>
      </w:pPr>
    </w:p>
    <w:p>
      <w:pPr>
        <w:ind w:left="512"/>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111" w:lineRule="exact"/>
        <w:rPr>
          <w:sz w:val="20"/>
          <w:szCs w:val="20"/>
          <w:color w:val="auto"/>
        </w:rPr>
      </w:pPr>
    </w:p>
    <w:tbl>
      <w:tblPr>
        <w:tblLayout w:type="fixed"/>
        <w:tblInd w:w="572"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122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2"/>
          </w:tcPr>
          <w:p>
            <w:pPr>
              <w:jc w:val="center"/>
              <w:ind w:left="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4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220" w:type="dxa"/>
            <w:vAlign w:val="bottom"/>
            <w:tcBorders>
              <w:top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40" w:type="dxa"/>
            <w:vAlign w:val="bottom"/>
            <w:tcBorders>
              <w:top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210,472</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312,319</w:t>
            </w:r>
          </w:p>
        </w:tc>
        <w:tc>
          <w:tcPr>
            <w:tcW w:w="1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40,049</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28,428</w:t>
            </w:r>
          </w:p>
        </w:tc>
        <w:tc>
          <w:tcPr>
            <w:tcW w:w="1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25,333</w:t>
            </w:r>
          </w:p>
        </w:tc>
        <w:tc>
          <w:tcPr>
            <w:tcW w:w="120" w:type="dxa"/>
            <w:vAlign w:val="bottom"/>
          </w:tcPr>
          <w:p>
            <w:pPr>
              <w:spacing w:after="0"/>
              <w:rPr>
                <w:sz w:val="18"/>
                <w:szCs w:val="18"/>
                <w:color w:val="auto"/>
              </w:rPr>
            </w:pPr>
          </w:p>
        </w:tc>
      </w:tr>
      <w:tr>
        <w:trPr>
          <w:trHeight w:val="249"/>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247,616</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238,900</w:t>
            </w: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337,652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-25400</wp:posOffset>
            </wp:positionV>
            <wp:extent cx="603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4894580</wp:posOffset>
            </wp:positionH>
            <wp:positionV relativeFrom="paragraph">
              <wp:posOffset>-8255</wp:posOffset>
            </wp:positionV>
            <wp:extent cx="6032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-25400</wp:posOffset>
            </wp:positionV>
            <wp:extent cx="603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-8255</wp:posOffset>
            </wp:positionV>
            <wp:extent cx="6032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-25400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-8255</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512"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income tax expenses amounted to RMB336,976 in Chinese mainland, and income tax expenses amounted to RMB676 in jurisdictions outside Chinese mainland. Income tax paid for the year ended December 31, 2025 are all in Chinese mainland.</w:t>
      </w:r>
    </w:p>
    <w:p>
      <w:pPr>
        <w:spacing w:after="0" w:line="5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jc w:val="both"/>
        <w:ind w:left="512"/>
        <w:spacing w:after="0" w:line="282" w:lineRule="auto"/>
        <w:rPr>
          <w:sz w:val="20"/>
          <w:szCs w:val="20"/>
          <w:color w:val="auto"/>
        </w:rPr>
      </w:pPr>
      <w:r>
        <w:rPr>
          <w:rFonts w:ascii="Times New Roman" w:cs="Times New Roman" w:eastAsia="Times New Roman" w:hAnsi="Times New Roman"/>
          <w:sz w:val="18"/>
          <w:szCs w:val="18"/>
          <w:color w:val="auto"/>
        </w:rPr>
        <w:t>Jiayin Group Inc. is incorporated in the Cayman Islands. Under the current laws of the Cayman Islands, Jiayin Group Inc. is not subject to income or capital gains taxes. In addition, dividend payments are not subject to withholdings tax in the Cayman Islands.</w:t>
      </w:r>
    </w:p>
    <w:p>
      <w:pPr>
        <w:spacing w:after="0" w:line="50"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512"/>
        <w:spacing w:after="0" w:line="258" w:lineRule="auto"/>
        <w:rPr>
          <w:sz w:val="20"/>
          <w:szCs w:val="20"/>
          <w:color w:val="auto"/>
        </w:rPr>
      </w:pPr>
      <w:r>
        <w:rPr>
          <w:rFonts w:ascii="Times New Roman" w:cs="Times New Roman" w:eastAsia="Times New Roman" w:hAnsi="Times New Roman"/>
          <w:sz w:val="18"/>
          <w:szCs w:val="18"/>
          <w:color w:val="auto"/>
        </w:rPr>
        <w:t>The Company subsidiary, Geerong (HK) Limited, is located in Hong Kong. The first 2.0 million Hong Kong dollars of profits it earned are subject to be taxed at an income tax rate at 8.25%, while the remaining profits will continue to be taxed at the existing tax rate, 16.5%. Additionally, payments of dividends by the subsidiary incorporated in Hong Kong to the Company are not subject to any Hong Kong withholding tax. No income tax provision has been made in the consolidated financial statements as it has no assessable income for the years ended December 31, 2023, 2024 and 2025, respectively.</w:t>
      </w:r>
    </w:p>
    <w:p>
      <w:pPr>
        <w:spacing w:after="0" w:line="7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both"/>
        <w:ind w:left="512"/>
        <w:spacing w:after="0" w:line="253" w:lineRule="auto"/>
        <w:rPr>
          <w:sz w:val="20"/>
          <w:szCs w:val="20"/>
          <w:color w:val="auto"/>
        </w:rPr>
      </w:pPr>
      <w:r>
        <w:rPr>
          <w:rFonts w:ascii="Times New Roman" w:cs="Times New Roman" w:eastAsia="Times New Roman" w:hAnsi="Times New Roman"/>
          <w:sz w:val="18"/>
          <w:szCs w:val="18"/>
          <w:color w:val="auto"/>
        </w:rPr>
        <w:t>Under the Law of the People’s Republic of China on Enterprise Income Tax (“EIT Law”), the Group’s subsidiaries and VIEs incorporated in the PRC are subject to statutory rate of 25%. High-technology enterprises may obtain a preferential tax rate of 15% provided they meet the related criteria. An enterprise’s qualification as a “high and new technology enterprise” (“HNTE”) is reassessed by the relevant PRC governmental authorities every three years. Geerong Yunke and Jiayin Shuke was entitled for a preferential income tax rate of 15% from 2022 to 2024 and from 2025 to 2027 as they are qualified as HNTE. Jiayin Technology was entitled for a preferential income tax rate of 15% from 2025 to 2027 as it was qualified as HNTE. From 2023 to 2024, Chuangzhen Software has been qualified as an eligible software enterprise and benefited from a preferential tax rate of 12.5%. From 2022 to 2024, Guangxi Chuangzhen benefits from a preferential tax rate of 9% as it falls within the encouraged industries catalogue in western China. From 2025, it is probable that Guangxi Chuangzhen does not fall within the encouraged industries catalogue any longer but still benefits from a preferential tax rate of 15% in western China. From 2023, Hainan Yinke benefits from a preferential tax rate of 15% as it was registered in Hainan and engaged in encouraged business activities.</w:t>
      </w:r>
    </w:p>
    <w:p>
      <w:pPr>
        <w:spacing w:after="0" w:line="8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121" w:lineRule="exact"/>
        <w:rPr>
          <w:sz w:val="20"/>
          <w:szCs w:val="20"/>
          <w:color w:val="auto"/>
        </w:rPr>
      </w:pPr>
    </w:p>
    <w:p>
      <w:pPr>
        <w:jc w:val="both"/>
        <w:ind w:left="512"/>
        <w:spacing w:after="0" w:line="261" w:lineRule="auto"/>
        <w:rPr>
          <w:sz w:val="20"/>
          <w:szCs w:val="20"/>
          <w:color w:val="auto"/>
        </w:rPr>
      </w:pPr>
      <w:r>
        <w:rPr>
          <w:rFonts w:ascii="Times New Roman" w:cs="Times New Roman" w:eastAsia="Times New Roman" w:hAnsi="Times New Roman"/>
          <w:sz w:val="18"/>
          <w:szCs w:val="18"/>
          <w:color w:val="auto"/>
        </w:rPr>
        <w:t>The Group’s subsidiary incorporated in Indonesia is subject to Indonesia Income (“CIT”) law. In accordance with the CIT law, an Indonesian resident is subject to worldwide income tax. Corporate income tax is calculated based on corporate taxable income (income less deductible expenses</w:t>
      </w:r>
    </w:p>
    <w:p>
      <w:pPr>
        <w:ind w:left="512" w:hanging="3"/>
        <w:spacing w:after="0" w:line="260" w:lineRule="auto"/>
        <w:tabs>
          <w:tab w:leader="none" w:pos="62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after fiscal adjustment), and the applicable CIT rate is 25%. Based on Government Regulation No.1 Year 2020 Jo No.30 Year 2020, Corporate Income Tax was 22% since 2023.</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9" w:right="339" w:bottom="1440" w:gutter="0" w:footer="0" w:header="0"/>
          <w:type w:val="continuous"/>
        </w:sectPr>
      </w:pPr>
    </w:p>
    <w:bookmarkStart w:id="189" w:name="page190"/>
    <w:bookmarkEnd w:id="189"/>
    <w:p>
      <w:pPr>
        <w:ind w:left="520" w:hanging="512"/>
        <w:spacing w:after="0"/>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continued</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Nigeria</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subsidiary incorporated in Nigeria is subject to Nigerian Company Income Tax (“NCIT”) law. In accordance with the NCIT law, a Nigerian Company is subject to worldwide income tax. Corporate income tax is calculated based on corporate taxable income (income less deductible expenses / expenses after fiscal adjustment), and the applicable NCIT rate is 30%. In August 2024, Quark and Giasun were disposed of by the Group (see Note 7).</w:t>
      </w:r>
    </w:p>
    <w:p>
      <w:pPr>
        <w:spacing w:after="0" w:line="6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Global Anti-base Erosion Rules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Organization for Economic Co-operation and Development (“OECD”) introduced the Global Anti-Base Erosion (GloBE) Rules, which set out global minimum tax rules designed to ensure that large multinational businesses with group annual revenue of EUR 750 million or more pay a minimum effective rate of tax of 15% on profits in all their operating countries (referred to as “Pillar Two Rules”). Countries may also implement their own domestic minimum tax regimes. Global minimum tax rules have been enacted in certain jurisdictions in which we are subject to income taxes. To provide transitional relief for Pillar Two tax compliance and administrative burden, the OECD has introduced a Framework for Transitional Country-by-Country Reporting Safe Harbor applicable for a transition period covering the years ended December 31, 2024 to December 31, 2026.</w:t>
      </w:r>
    </w:p>
    <w:p>
      <w:pPr>
        <w:spacing w:after="0" w:line="80"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reviewed its corporate structure in light of the introduction of Pillar Two model rules in various jurisdictions. While such new rules introduce complexity into the Group’s calculation of income tax expense, Pillar Two did not have a material impact on the Group’s tax expense in 2024 and 2025.</w:t>
      </w:r>
    </w:p>
    <w:p>
      <w:pPr>
        <w:spacing w:after="0" w:line="39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significant components of the deferred tax assets and deferred tax liabilities: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9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20" w:type="dxa"/>
            <w:vAlign w:val="bottom"/>
            <w:gridSpan w:val="2"/>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69,343</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42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Allowance for uncollectible receivables, contract assets,</w:t>
            </w:r>
          </w:p>
        </w:tc>
        <w:tc>
          <w:tcPr>
            <w:tcW w:w="19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and others</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carryforward</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Contingent guarantee liabilities</w:t>
            </w:r>
          </w:p>
        </w:tc>
        <w:tc>
          <w:tcPr>
            <w:tcW w:w="19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w:t>
            </w:r>
          </w:p>
        </w:tc>
        <w:tc>
          <w:tcPr>
            <w:tcW w:w="19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98,873</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133,948</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Valuation allowances</w:t>
            </w:r>
          </w:p>
        </w:tc>
        <w:tc>
          <w:tcPr>
            <w:tcW w:w="19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(26,468)</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(37,414)</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9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72,405</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96,534</w:t>
            </w:r>
          </w:p>
        </w:tc>
        <w:tc>
          <w:tcPr>
            <w:tcW w:w="10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72"/>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20" w:type="dxa"/>
            <w:vAlign w:val="bottom"/>
            <w:gridSpan w:val="2"/>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withholding tax</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19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70,450</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106,912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360" w:type="dxa"/>
            <w:vAlign w:val="bottom"/>
            <w:gridSpan w:val="3"/>
          </w:tcPr>
          <w:p>
            <w:pPr>
              <w:jc w:val="right"/>
              <w:ind w:right="2940"/>
              <w:spacing w:after="0"/>
              <w:rPr>
                <w:sz w:val="20"/>
                <w:szCs w:val="20"/>
                <w:color w:val="auto"/>
              </w:rPr>
            </w:pPr>
            <w:r>
              <w:rPr>
                <w:rFonts w:ascii="Times New Roman" w:cs="Times New Roman" w:eastAsia="Times New Roman" w:hAnsi="Times New Roman"/>
                <w:sz w:val="18"/>
                <w:szCs w:val="18"/>
                <w:color w:val="auto"/>
              </w:rPr>
              <w:t>F-34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-1971040</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-1953895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-1971040</wp:posOffset>
            </wp:positionV>
            <wp:extent cx="596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-1953895</wp:posOffset>
            </wp:positionV>
            <wp:extent cx="596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-1079500</wp:posOffset>
            </wp:positionV>
            <wp:extent cx="596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0" w:name="page191"/>
    <w:bookmarkEnd w:id="190"/>
    <w:p>
      <w:pPr>
        <w:ind w:left="520" w:hanging="512"/>
        <w:spacing w:after="0"/>
        <w:tabs>
          <w:tab w:leader="none" w:pos="5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assets and liabilities have been offset where the Group has a legally enforceable right to do so, and intends to settle on a net basis. The deferred tax liabilities were recorded in accrued expenses and other liabilities on the consolidated balance sheets.</w:t>
      </w:r>
    </w:p>
    <w:p>
      <w:pPr>
        <w:spacing w:after="0" w:line="53"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valuation allowance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28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the year</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(16,070)</w:t>
            </w: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(26,468)</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(11,151)</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(13,184)</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Reversals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Disposal of subsidiaries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end of the year</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(26,468)</w:t>
            </w: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(37,414)</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Group assesses the available positive and negative evidence to estimate if sufficient future taxable income will be generated to use the existing deferred tax assets.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 On the basis of this evaluation, valuation allowances of RMB26,468 and RMB37,414 have been established for deferred tax assets as of December 31, 2024 and 2025 respectively, based on a more likely than not threshold due to accumulated loss and uncertainty of sufficient profit generated in future years for certain subsidiaries within the Group. The amount of the deferred tax assets considered realizable, however, could be adjusted if estimates of future taxable income during the carry forwards period are reduced or increased or if objective negative evidence in the form of cumulative losses is no longer present and additional weight may be given to subjective evidence such as our projections for growth.</w:t>
      </w:r>
    </w:p>
    <w:p>
      <w:pPr>
        <w:spacing w:after="0" w:line="8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At December 31, 2025, tax loss carry-forward amounted to RMB104,649, and would expire in calendar year 2026 to 2030 if not utilized, while tax loss of RMB56,775 can be carried forward indefinitely. The Group operates its business through its subsidiaries and VIEs. The Group does not file consolidated tax returns, therefore, losses from individual subsidiaries or the VIEs may not be used to offset other subsidiaries’ or VIEs’ earnings within the Group.</w:t>
      </w:r>
    </w:p>
    <w:p>
      <w:pPr>
        <w:spacing w:after="0" w:line="72"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Under U.S. GAAP, undistributed earnings are presumed to be transferred to the Company and are subject to the withholding taxes. Prior to December 31, 2022, the Group intended to indefinitely reinvest the PRC subsidiaries’ accumulated profits for expansion of its PRC business and no withholding tax was recorded for those accumulated profits. Starting from March 2023, the Group decided to transfer a portion of the annual profits generated by its PRC subsidiaries to their overseas parent company for dividend distribution purposes. The Group accrues withholding taxes on the profits that it does not intend to indefinitely invest. During the years ended December 31, 2024 and 2025, the Group accrued corresponding deferred tax liabilities of RMB 47,234 and RMB48,476, respectively. The remaining undistributed earnings of the Group’s PRC subsidiaries that the Group intends to indefinitely reinvest was RMB 3,476,126 as of December 31, 2025.</w:t>
      </w:r>
    </w:p>
    <w:p>
      <w:pPr>
        <w:spacing w:after="0" w:line="8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A deferred tax liability should be recorded for taxable temporary differences attributable to the excess of financial reporting amounts over tax basis amounts, including those differences attributable to a more than 50% interest in a domestic subsidiary. However, recognition is not required in situations where the tax law provides a means by which the reported amount of that investment can be recovered tax-free and the enterprise expects that it will ultimately use that means the Group does not accrue deferred tax liabilities on the earnings of the VIEs given that the Group’s VIEs had accumulated deficits as of December 31, 2024 and 2025.</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1" w:name="page192"/>
    <w:bookmarkEnd w:id="191"/>
    <w:p>
      <w:pPr>
        <w:ind w:left="520" w:hanging="512"/>
        <w:spacing w:after="0"/>
        <w:tabs>
          <w:tab w:leader="none" w:pos="5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reconciliation of differences between PRC statutory income tax rate and the Group’s effective income tax rate for the years ended December 31,</w:t>
      </w:r>
    </w:p>
    <w:p>
      <w:pPr>
        <w:spacing w:after="0" w:line="3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and 2024 prior to the adoption of ASU 2023-09 was as follows: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40" w:type="dxa"/>
            <w:vAlign w:val="bottom"/>
          </w:tcPr>
          <w:p>
            <w:pPr>
              <w:spacing w:after="0"/>
              <w:rPr>
                <w:sz w:val="12"/>
                <w:szCs w:val="12"/>
                <w:color w:val="auto"/>
              </w:rPr>
            </w:pPr>
          </w:p>
        </w:tc>
        <w:tc>
          <w:tcPr>
            <w:tcW w:w="11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Statutory income tax rate</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25.00%</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25.00%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Disposal of subsidiaries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super deduction</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holiday *</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r>
      <w:tr>
        <w:trPr>
          <w:trHeight w:val="198"/>
        </w:trPr>
        <w:tc>
          <w:tcPr>
            <w:tcW w:w="6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Different tax rate of entities operating in other</w:t>
            </w:r>
          </w:p>
        </w:tc>
        <w:tc>
          <w:tcPr>
            <w:tcW w:w="1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6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True up</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16.03%</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18.44%</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14605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14605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454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454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Summary of Significant Accounting Policies, the reconciliation of differences between PRC statutory income tax rate and the Group’s effective income tax rate for the years ended December 31, 2025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20" w:type="dxa"/>
            <w:vAlign w:val="bottom"/>
            <w:gridSpan w:val="9"/>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 in RMB</w:t>
            </w:r>
          </w:p>
        </w:tc>
        <w:tc>
          <w:tcPr>
            <w:tcW w:w="1180" w:type="dxa"/>
            <w:vAlign w:val="bottom"/>
            <w:gridSpan w:val="3"/>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0" w:type="dxa"/>
            <w:vAlign w:val="bottom"/>
            <w:gridSpan w:val="2"/>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Statutory income tax rate</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468,346</w:t>
            </w:r>
          </w:p>
        </w:tc>
        <w:tc>
          <w:tcPr>
            <w:tcW w:w="160" w:type="dxa"/>
            <w:vAlign w:val="bottom"/>
            <w:tcBorders>
              <w:right w:val="single" w:sz="8" w:color="CFF0FC"/>
            </w:tcBorders>
            <w:shd w:val="clear" w:color="auto" w:fill="CFF0FC"/>
          </w:tcPr>
          <w:p>
            <w:pPr>
              <w:spacing w:after="0"/>
              <w:rPr>
                <w:sz w:val="18"/>
                <w:szCs w:val="18"/>
                <w:color w:val="auto"/>
              </w:rPr>
            </w:pPr>
          </w:p>
        </w:tc>
        <w:tc>
          <w:tcPr>
            <w:tcW w:w="14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60" w:type="dxa"/>
            <w:vAlign w:val="bottom"/>
            <w:tcBorders>
              <w:right w:val="single" w:sz="8" w:color="CFF0FC"/>
            </w:tcBorders>
            <w:shd w:val="clear" w:color="auto" w:fill="CFF0FC"/>
          </w:tcPr>
          <w:p>
            <w:pPr>
              <w:spacing w:after="0"/>
              <w:rPr>
                <w:sz w:val="18"/>
                <w:szCs w:val="18"/>
                <w:color w:val="auto"/>
              </w:rPr>
            </w:pPr>
          </w:p>
        </w:tc>
        <w:tc>
          <w:tcPr>
            <w:tcW w:w="14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(166,777)</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tax credits</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540" w:type="dxa"/>
            <w:vAlign w:val="bottom"/>
            <w:tcBorders>
              <w:right w:val="single" w:sz="8" w:color="CFF0FC"/>
            </w:tcBorders>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(62,147)</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60" w:type="dxa"/>
            <w:vAlign w:val="bottom"/>
            <w:tcBorders>
              <w:right w:val="single" w:sz="8" w:color="CFF0FC"/>
            </w:tcBorders>
            <w:shd w:val="clear" w:color="auto" w:fill="CFF0FC"/>
          </w:tcPr>
          <w:p>
            <w:pPr>
              <w:spacing w:after="0"/>
              <w:rPr>
                <w:sz w:val="18"/>
                <w:szCs w:val="18"/>
                <w:color w:val="auto"/>
              </w:rPr>
            </w:pPr>
          </w:p>
        </w:tc>
        <w:tc>
          <w:tcPr>
            <w:tcW w:w="14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6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60" w:type="dxa"/>
            <w:vAlign w:val="bottom"/>
            <w:tcBorders>
              <w:right w:val="single" w:sz="8" w:color="CFF0FC"/>
            </w:tcBorders>
            <w:shd w:val="clear" w:color="auto" w:fill="CFF0FC"/>
          </w:tcPr>
          <w:p>
            <w:pPr>
              <w:spacing w:after="0"/>
              <w:rPr>
                <w:sz w:val="18"/>
                <w:szCs w:val="18"/>
                <w:color w:val="auto"/>
              </w:rPr>
            </w:pPr>
          </w:p>
        </w:tc>
        <w:tc>
          <w:tcPr>
            <w:tcW w:w="14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Withholding for Profits of foreign invested enterprises</w:t>
            </w: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60" w:type="dxa"/>
            <w:vAlign w:val="bottom"/>
            <w:tcBorders>
              <w:right w:val="single" w:sz="8" w:color="CFF0FC"/>
            </w:tcBorders>
            <w:shd w:val="clear" w:color="auto" w:fill="CFF0FC"/>
          </w:tcPr>
          <w:p>
            <w:pPr>
              <w:spacing w:after="0"/>
              <w:rPr>
                <w:sz w:val="18"/>
                <w:szCs w:val="18"/>
                <w:color w:val="auto"/>
              </w:rPr>
            </w:pPr>
          </w:p>
        </w:tc>
        <w:tc>
          <w:tcPr>
            <w:tcW w:w="14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56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10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337,652</w:t>
            </w:r>
          </w:p>
        </w:tc>
        <w:tc>
          <w:tcPr>
            <w:tcW w:w="160" w:type="dxa"/>
            <w:vAlign w:val="bottom"/>
            <w:tcBorders>
              <w:right w:val="single" w:sz="8" w:color="CFF0FC"/>
            </w:tcBorders>
            <w:shd w:val="clear" w:color="auto" w:fill="CFF0FC"/>
          </w:tcPr>
          <w:p>
            <w:pPr>
              <w:spacing w:after="0"/>
              <w:rPr>
                <w:sz w:val="20"/>
                <w:szCs w:val="20"/>
                <w:color w:val="auto"/>
              </w:rPr>
            </w:pPr>
          </w:p>
        </w:tc>
        <w:tc>
          <w:tcPr>
            <w:tcW w:w="14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18.02%</w:t>
            </w: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5"/>
        </w:trPr>
        <w:tc>
          <w:tcPr>
            <w:tcW w:w="64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effect of the preferential tax rates on the income per share is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6"/>
        </w:trPr>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840" w:type="dxa"/>
            <w:vAlign w:val="bottom"/>
            <w:tcBorders>
              <w:bottom w:val="single" w:sz="8" w:color="auto"/>
            </w:tcBorders>
            <w:gridSpan w:val="6"/>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00" w:type="dxa"/>
            <w:vAlign w:val="bottom"/>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76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20" w:type="dxa"/>
            <w:vAlign w:val="bottom"/>
            <w:gridSpan w:val="4"/>
          </w:tcPr>
          <w:p>
            <w:pPr>
              <w:spacing w:after="0"/>
              <w:rPr>
                <w:sz w:val="12"/>
                <w:szCs w:val="12"/>
                <w:color w:val="auto"/>
              </w:rPr>
            </w:pPr>
          </w:p>
        </w:tc>
      </w:tr>
      <w:tr>
        <w:trPr>
          <w:trHeight w:val="198"/>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Tax saving amount due to HNTE status, software enterprise and other</w:t>
            </w:r>
          </w:p>
        </w:tc>
        <w:tc>
          <w:tcPr>
            <w:tcW w:w="110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200" w:type="dxa"/>
            <w:vAlign w:val="bottom"/>
            <w:tcBorders>
              <w:right w:val="single" w:sz="8" w:color="CFF0FC"/>
            </w:tcBorders>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81,726</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166,777</w:t>
            </w:r>
          </w:p>
        </w:tc>
        <w:tc>
          <w:tcPr>
            <w:tcW w:w="100" w:type="dxa"/>
            <w:vAlign w:val="bottom"/>
            <w:shd w:val="clear" w:color="auto" w:fill="CFF0FC"/>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effect-basic and 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4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F-36</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-2056765</wp:posOffset>
            </wp:positionV>
            <wp:extent cx="6032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-2039620</wp:posOffset>
            </wp:positionV>
            <wp:extent cx="603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-2056765</wp:posOffset>
            </wp:positionV>
            <wp:extent cx="1460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-2039620</wp:posOffset>
            </wp:positionV>
            <wp:extent cx="14605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2" w:name="page193"/>
    <w:bookmarkEnd w:id="192"/>
    <w:p>
      <w:pPr>
        <w:ind w:left="520" w:hanging="512"/>
        <w:spacing w:after="0"/>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2023, the unrecognized tax benefit was fully released upon the de-recognition of liabilities.</w:t>
      </w:r>
    </w:p>
    <w:p>
      <w:pPr>
        <w:spacing w:after="0" w:line="117" w:lineRule="exact"/>
        <w:rPr>
          <w:rFonts w:ascii="Times New Roman" w:cs="Times New Roman" w:eastAsia="Times New Roman" w:hAnsi="Times New Roman"/>
          <w:sz w:val="18"/>
          <w:szCs w:val="18"/>
          <w:b w:val="1"/>
          <w:bCs w:val="1"/>
          <w:color w:val="auto"/>
        </w:rPr>
      </w:pPr>
    </w:p>
    <w:p>
      <w:pPr>
        <w:jc w:val="both"/>
        <w:ind w:left="5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740 states that a tax benefit from an uncertain tax position may be recognized when it is more likely than not that the position will be sustained upon examination, including resolutions of any related appeals or litigation processes, on the basis of the technical merits. The Group record unrecognized tax benefits as liabilities in accordance with ASC 740 and adjust these liabilities when the Group’s judgment changes as a result of the evaluation of new information not previously available. However, due to the uncertain and complex application of tax regulations, it is possible that the ultimate resolution of uncertain tax positions may result in liabilities which could be materially different from these estimates. In such an event, the Group will record additional tax expense or tax benefit in the period in which such resolution occurs.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3" w:name="page194"/>
    <w:bookmarkEnd w:id="193"/>
    <w:p>
      <w:pPr>
        <w:ind w:left="520" w:hanging="512"/>
        <w:spacing w:after="0"/>
        <w:tabs>
          <w:tab w:leader="none" w:pos="5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AND TREASURY STOCK</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10, 2019, the Group completed its IPO on the NASDAQ Global Market. In this offering, 4,025,000 ADSs, representing 16,100,000 ordinary shares, were issued at a price of US$10.50 per ADS. One ADS represents four Class A ordinary shares. The aggregate proceeds received by the Group from the IPO, net of issuance costs, were approximately RMB234,354. Upon completion of IPO, the 216,100,000 outstanding ordinary shares with par value of US$0.000000005 per share were split into 100,100,000 Class A ordinary shares and 116,000,000 Class B ordinary shares, with each Class A ordinary share being entitled to one vote and each Class B ordinary share being entitled to ten votes on all matters that are subject to shareholder vote. All classes of ordinary shares are entitled to the same dividend right. All of the Class B ordinary shares were held by the Founder of the Company. In 2020, 8,000,000 Class B ordinary shares were converted into Class A ordinary shares.</w:t>
      </w:r>
    </w:p>
    <w:p>
      <w:pPr>
        <w:spacing w:after="0" w:line="80" w:lineRule="exact"/>
        <w:rPr>
          <w:rFonts w:ascii="Times New Roman" w:cs="Times New Roman" w:eastAsia="Times New Roman" w:hAnsi="Times New Roman"/>
          <w:sz w:val="18"/>
          <w:szCs w:val="18"/>
          <w:b w:val="1"/>
          <w:bCs w:val="1"/>
          <w:color w:val="auto"/>
        </w:rPr>
      </w:pPr>
    </w:p>
    <w:p>
      <w:pPr>
        <w:jc w:val="both"/>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2024 and 2025, the Group repurchased 4,005,680 and 3,200,000 Class A ordinary shares on the open market for an aggregate cash consideration of US$6,316 (RMB45,020) and US$13,576 (RMB97,353) respectively. The weighted average price of these shares repurchased was US$1.58 per share and US$4.24 per share respectively. As of December 31, 2025, 6,781,816 ordinary shares are considered not outstanding and therefore were accounted for under the cost method and included in treasury stock as a component of the shareholder’s equity.</w:t>
      </w:r>
    </w:p>
    <w:p>
      <w:pPr>
        <w:spacing w:after="0" w:line="39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income per share attribute to ordinary shareholders: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basic and diluted</w:t>
      </w:r>
    </w:p>
    <w:p>
      <w:pPr>
        <w:spacing w:after="0" w:line="9" w:lineRule="exact"/>
        <w:rPr>
          <w:sz w:val="20"/>
          <w:szCs w:val="20"/>
          <w:color w:val="auto"/>
        </w:rPr>
      </w:pPr>
    </w:p>
    <w:p>
      <w:pPr>
        <w:ind w:left="1100" w:right="1520" w:hanging="134"/>
        <w:spacing w:after="0" w:line="250" w:lineRule="auto"/>
        <w:rPr>
          <w:sz w:val="20"/>
          <w:szCs w:val="20"/>
          <w:color w:val="auto"/>
        </w:rPr>
      </w:pPr>
      <w:r>
        <w:rPr>
          <w:rFonts w:ascii="Times New Roman" w:cs="Times New Roman" w:eastAsia="Times New Roman" w:hAnsi="Times New Roman"/>
          <w:sz w:val="18"/>
          <w:szCs w:val="18"/>
          <w:color w:val="auto"/>
        </w:rPr>
        <w:t>Weighted average number of ordinary shares outstanding – basic and diluted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Basic and diluted net income per share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attributable to ordinary shares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40" w:type="dxa"/>
            <w:vAlign w:val="bottom"/>
            <w:tcBorders>
              <w:top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tcBorders>
              <w:top w:val="single" w:sz="8" w:color="auto"/>
            </w:tcBorders>
            <w:gridSpan w:val="2"/>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top w:val="single" w:sz="8" w:color="auto"/>
            </w:tcBorders>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1140" w:type="dxa"/>
            <w:vAlign w:val="bottom"/>
            <w:tcBorders>
              <w:top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114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5"/>
                <w:szCs w:val="15"/>
                <w:color w:val="auto"/>
              </w:rPr>
            </w:pPr>
          </w:p>
        </w:tc>
        <w:tc>
          <w:tcPr>
            <w:tcW w:w="114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RMB</w:t>
            </w:r>
          </w:p>
        </w:tc>
      </w:tr>
      <w:tr>
        <w:trPr>
          <w:trHeight w:val="350"/>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1,297,619</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1,056,478</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1,535,742</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9"/>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213,996,233</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212,433,169</w:t>
            </w:r>
          </w:p>
        </w:tc>
        <w:tc>
          <w:tcPr>
            <w:tcW w:w="1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208,900,211</w:t>
            </w:r>
          </w:p>
        </w:tc>
      </w:tr>
      <w:tr>
        <w:trPr>
          <w:trHeight w:val="385"/>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-822325</wp:posOffset>
            </wp:positionV>
            <wp:extent cx="5915025" cy="274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5915025" cy="2743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-273685</wp:posOffset>
            </wp:positionV>
            <wp:extent cx="5915025" cy="274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5915025" cy="27432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720" w:space="720"/>
            <w:col w:w="4800"/>
          </w:cols>
          <w:pgMar w:left="320" w:top="1251" w:right="339" w:bottom="1440" w:gutter="0" w:footer="0" w:header="0"/>
          <w:type w:val="continuous"/>
        </w:sect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As economic rights and obligations are applied equally to both Class A and Class B ordinary shares, earnings are allocated between the two classes of ordinary shares evenly with the same allocation on a per share basis.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does not have shares with a dilutive effect for the years ended December 31, 2023, 2024 and 2025.</w:t>
      </w:r>
    </w:p>
    <w:p>
      <w:pPr>
        <w:spacing w:after="0" w:line="113"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28, 2023, the Board of Directors of the Company approved and adopted a dividend policy, under which the Company may choose to declare and distribute cash dividend twice each fiscal year, starting from 2023, at an aggregate amount of no less than 15% of the net income after tax of the Company in the previous fiscal year.</w:t>
      </w:r>
    </w:p>
    <w:p>
      <w:pPr>
        <w:spacing w:after="0" w:line="67" w:lineRule="exact"/>
        <w:rPr>
          <w:rFonts w:ascii="Times New Roman" w:cs="Times New Roman" w:eastAsia="Times New Roman" w:hAnsi="Times New Roman"/>
          <w:sz w:val="18"/>
          <w:szCs w:val="18"/>
          <w:b w:val="1"/>
          <w:bCs w:val="1"/>
          <w:color w:val="auto"/>
        </w:rPr>
      </w:pPr>
    </w:p>
    <w:p>
      <w:pPr>
        <w:jc w:val="both"/>
        <w:ind w:left="52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2023, the Board of Directors of the Company approved a dividend of US dollar 0.10 per ordinary share, which was paid in August, 2023 to shareholders of record as of the close of business on July 28, 2023. The aggregate amount of cash distributed for the dividends was US$21,474 (equivalent to RMB156,674).</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2024, the Board of Directors of the Company approved a dividend of US dollar 0.10 per ordinary share, which was paid in January 2024 to shareholders of record as of the close of business on January 19, 2024. The aggregate amount of cash distributed for the dividends was US$21,213 (equivalent to RMB151,887).</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2024, the Board of Directors of the Company approved a dividend of US dollar 0.125 per ordinary share, which was paid in September 2024 to shareholders of record as of the close of business on August 27, 2024. The aggregate amount of cash distributed for the dividends was US$26,589 (equivalent to RMB189,018).</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2025, the Board of Directors of the Company approved and adopted a further adjustment of existing dividend policy, under which the Company may choose to declare and distribute a cash dividend once each fiscal year, starting from 2025, at an aggregate amount of around 30% of the net income after tax of the Company in the previous fiscal year.</w:t>
      </w:r>
    </w:p>
    <w:p>
      <w:pPr>
        <w:spacing w:after="0" w:line="67"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2025, the Board of Director of the Company approved a dividend of US dollar 0.20 per ordinary share. In July 2025, the group declared cash distributed of US$41,052 (equivalent to RMB296,368) to the shareholders, among which the Group paid in cash of US$11,336 (equivalent to RMB81,363).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94" w:name="page195"/>
    <w:bookmarkEnd w:id="194"/>
    <w:p>
      <w:pPr>
        <w:spacing w:after="0" w:line="41" w:lineRule="exact"/>
        <w:rPr>
          <w:sz w:val="20"/>
          <w:szCs w:val="20"/>
          <w:color w:val="auto"/>
        </w:rPr>
      </w:pPr>
    </w:p>
    <w:p>
      <w:pPr>
        <w:ind w:left="520" w:right="5940" w:hanging="512"/>
        <w:spacing w:after="0" w:line="375" w:lineRule="auto"/>
        <w:tabs>
          <w:tab w:leader="none" w:pos="52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EXPENSES AND OTHER LIABILITIES </w:t>
      </w:r>
      <w:r>
        <w:rPr>
          <w:rFonts w:ascii="Times New Roman" w:cs="Times New Roman" w:eastAsia="Times New Roman" w:hAnsi="Times New Roman"/>
          <w:sz w:val="18"/>
          <w:szCs w:val="18"/>
          <w:color w:val="auto"/>
        </w:rPr>
        <w:t>Accrued expenses and other liabilities consisted of the followings: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2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6900" w:type="dxa"/>
            <w:vAlign w:val="bottom"/>
          </w:tcPr>
          <w:p>
            <w:pPr>
              <w:spacing w:after="0"/>
              <w:rPr>
                <w:sz w:val="18"/>
                <w:szCs w:val="18"/>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690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314,050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152,440</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467,032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663,979</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874,630</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balances represent deposits held by the Group related to the back-to-back guarantee service from the third-party companies and co-guarantee service with the third-party guarantee companies.</w:t>
      </w:r>
    </w:p>
    <w:p>
      <w:pPr>
        <w:spacing w:after="0" w:line="50"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BORROWINGS</w:t>
      </w:r>
    </w:p>
    <w:p>
      <w:pPr>
        <w:spacing w:after="0" w:line="22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10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060" w:type="dxa"/>
            <w:vAlign w:val="bottom"/>
            <w:tcBorders>
              <w:top w:val="single" w:sz="8" w:color="auto"/>
            </w:tcBorders>
          </w:tcPr>
          <w:p>
            <w:pPr>
              <w:jc w:val="center"/>
              <w:ind w:left="2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top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70,401</w:t>
            </w:r>
          </w:p>
        </w:tc>
        <w:tc>
          <w:tcPr>
            <w:tcW w:w="120" w:type="dxa"/>
            <w:vAlign w:val="bottom"/>
          </w:tcPr>
          <w:p>
            <w:pPr>
              <w:spacing w:after="0"/>
              <w:rPr>
                <w:sz w:val="18"/>
                <w:szCs w:val="18"/>
                <w:color w:val="auto"/>
              </w:rPr>
            </w:pPr>
          </w:p>
        </w:tc>
      </w:tr>
      <w:tr>
        <w:trPr>
          <w:trHeight w:val="216"/>
        </w:trPr>
        <w:tc>
          <w:tcPr>
            <w:tcW w:w="7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borrowings, current portion</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84,642</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non-current portion</w:t>
            </w: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516,000</w:t>
            </w:r>
          </w:p>
        </w:tc>
        <w:tc>
          <w:tcPr>
            <w:tcW w:w="12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10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671,043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March 2025, a subsidiary of the Group entered into a two-year bank revolving credit facility of RMB50 million and amended in June 2025 to increase the facility from RMB50 million to US$20 million, with an annual interest rate of 5.25% and carries a contractual maturity date of one year from the date of drawdown. During the year ended December 31, 2025, the Company drew down RMB70,218 in total. The revolving credit facility was secured by certificates of deposit pledged as collateral provided by Geerong Yunke. The carrying value of the certificates of deposit included in Restricted cash was RMB76,398 as of December 31, 2025. The borrowing was measured at amortized cost and the outstanding balance of loan principal and unpaid interest was nil and RMB70,401 as of December 31, 2024 and 2025, respectively.</w:t>
      </w:r>
    </w:p>
    <w:p>
      <w:pPr>
        <w:spacing w:after="0" w:line="7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November 2025, Shanghai Jirongzhicheng, a wholly owned subsidiary of the Group, entered into an eight-year bank credit facility of RMB600 million with an interest rate of 3.5%, and fully drew down as of December 31, 2025. The facility was secured by the commercial property of Shanghai Jirongzhicheng. In addition, Geerong Yunke and Jiayin Technology provided guarantees for the Loan Facility in favor of the lenders. The net book value of the commercial property included in Property and equipment, net on the consolidated balance sheets was RMB1,282,535 as of December 31, 2025. The borrowing was measured at amortized cost and the outstanding balance was nil and RMB600,642 as of December 31, 2024 and 2025, respectively.</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Group’s bank borrowings as of December 31, 2025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0" w:type="dxa"/>
            <w:vAlign w:val="bottom"/>
          </w:tcPr>
          <w:p>
            <w:pPr>
              <w:spacing w:after="0"/>
              <w:rPr>
                <w:sz w:val="15"/>
                <w:szCs w:val="15"/>
                <w:color w:val="auto"/>
              </w:rPr>
            </w:pPr>
          </w:p>
        </w:tc>
        <w:tc>
          <w:tcPr>
            <w:tcW w:w="17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Principal Amounts</w:t>
            </w:r>
          </w:p>
        </w:tc>
        <w:tc>
          <w:tcPr>
            <w:tcW w:w="660" w:type="dxa"/>
            <w:vAlign w:val="bottom"/>
            <w:gridSpan w:val="2"/>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154,218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670,218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4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F-39</w:t>
            </w:r>
          </w:p>
        </w:tc>
      </w:tr>
      <w:tr>
        <w:trPr>
          <w:trHeight w:val="763"/>
        </w:trPr>
        <w:tc>
          <w:tcPr>
            <w:tcW w:w="5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-934085</wp:posOffset>
            </wp:positionV>
            <wp:extent cx="6032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-916940</wp:posOffset>
            </wp:positionV>
            <wp:extent cx="60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ind w:left="520" w:hanging="512"/>
        <w:spacing w:after="0"/>
        <w:tabs>
          <w:tab w:leader="none" w:pos="52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the Group, with which the Group entered into transactions during the years ended December 31, 2023, 2024 and 2025:</w:t>
      </w:r>
    </w:p>
    <w:p>
      <w:pPr>
        <w:spacing w:after="0" w:line="70"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100" w:type="dxa"/>
            <w:vAlign w:val="bottom"/>
          </w:tcPr>
          <w:p>
            <w:pPr>
              <w:spacing w:after="0"/>
              <w:rPr>
                <w:sz w:val="18"/>
                <w:szCs w:val="18"/>
                <w:color w:val="auto"/>
              </w:rPr>
            </w:pP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Shanghai Jiayin Finance Services Co., Ltd.</w:t>
            </w:r>
          </w:p>
        </w:tc>
        <w:tc>
          <w:tcPr>
            <w:tcW w:w="10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Entity controlled by Mr. Yan,</w:t>
            </w: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(“Shanghai Jiayin”)</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Founder and Chairman of the Group</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Shanghai Jiayin Zhuoyue Corporate Management Co., Ltd.</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Entity controlled by Mr. Yan,</w:t>
            </w:r>
          </w:p>
        </w:tc>
        <w:tc>
          <w:tcPr>
            <w:tcW w:w="0" w:type="dxa"/>
            <w:vAlign w:val="bottom"/>
          </w:tcPr>
          <w:p>
            <w:pPr>
              <w:spacing w:after="0"/>
              <w:rPr>
                <w:sz w:val="1"/>
                <w:szCs w:val="1"/>
                <w:color w:val="auto"/>
              </w:rPr>
            </w:pPr>
          </w:p>
        </w:tc>
      </w:tr>
      <w:tr>
        <w:trPr>
          <w:trHeight w:val="210"/>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(“Jiayin Zhuoyue”)</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Founder and Chairman of the Group</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Jiayin Technology Service (Shanghai) Co.,Ltd.</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Entity controlled by Mr. Yan,</w:t>
            </w:r>
          </w:p>
        </w:tc>
        <w:tc>
          <w:tcPr>
            <w:tcW w:w="0" w:type="dxa"/>
            <w:vAlign w:val="bottom"/>
          </w:tcPr>
          <w:p>
            <w:pPr>
              <w:spacing w:after="0"/>
              <w:rPr>
                <w:sz w:val="1"/>
                <w:szCs w:val="1"/>
                <w:color w:val="auto"/>
              </w:rPr>
            </w:pPr>
          </w:p>
        </w:tc>
      </w:tr>
      <w:tr>
        <w:trPr>
          <w:trHeight w:val="210"/>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(“Jiayin Technology”)</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Founder and Chairman of the Group</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New Dream Capital Holdings Limited</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Entity controlled by Mr. Yan,</w:t>
            </w:r>
          </w:p>
        </w:tc>
        <w:tc>
          <w:tcPr>
            <w:tcW w:w="0" w:type="dxa"/>
            <w:vAlign w:val="bottom"/>
          </w:tcPr>
          <w:p>
            <w:pPr>
              <w:spacing w:after="0"/>
              <w:rPr>
                <w:sz w:val="1"/>
                <w:szCs w:val="1"/>
                <w:color w:val="auto"/>
              </w:rPr>
            </w:pPr>
          </w:p>
        </w:tc>
      </w:tr>
      <w:tr>
        <w:trPr>
          <w:trHeight w:val="210"/>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(“New Dream”)</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Founder and Chairman of the Group</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Dream Glory L.P.</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Entity controlled by Mr. Yan,</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Founder and Chairman of the Group</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Sunshinewoods Holdings Limited</w:t>
            </w:r>
          </w:p>
        </w:tc>
        <w:tc>
          <w:tcPr>
            <w:tcW w:w="100" w:type="dxa"/>
            <w:vAlign w:val="bottom"/>
          </w:tcPr>
          <w:p>
            <w:pPr>
              <w:spacing w:after="0"/>
              <w:rPr>
                <w:sz w:val="18"/>
                <w:szCs w:val="18"/>
                <w:color w:val="auto"/>
              </w:rPr>
            </w:pPr>
          </w:p>
        </w:tc>
        <w:tc>
          <w:tcPr>
            <w:tcW w:w="5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 principal shareholder</w:t>
            </w:r>
          </w:p>
        </w:tc>
        <w:tc>
          <w:tcPr>
            <w:tcW w:w="0" w:type="dxa"/>
            <w:vAlign w:val="bottom"/>
          </w:tcPr>
          <w:p>
            <w:pPr>
              <w:spacing w:after="0"/>
              <w:rPr>
                <w:sz w:val="1"/>
                <w:szCs w:val="1"/>
                <w:color w:val="auto"/>
              </w:rPr>
            </w:pPr>
          </w:p>
        </w:tc>
      </w:tr>
      <w:tr>
        <w:trPr>
          <w:trHeight w:val="102"/>
        </w:trPr>
        <w:tc>
          <w:tcPr>
            <w:tcW w:w="52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(“Sunshinewoods”)</w:t>
            </w:r>
          </w:p>
        </w:tc>
        <w:tc>
          <w:tcPr>
            <w:tcW w:w="10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Keen Best Investments Ltd. (“Keen Best”)</w:t>
            </w:r>
          </w:p>
        </w:tc>
        <w:tc>
          <w:tcPr>
            <w:tcW w:w="10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Affiliate enterprise</w:t>
            </w: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Subsidiary shareholder</w:t>
            </w:r>
          </w:p>
        </w:tc>
        <w:tc>
          <w:tcPr>
            <w:tcW w:w="10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minority shareholder of the subsidiaries of the Group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96" w:name="page197"/>
    <w:bookmarkEnd w:id="196"/>
    <w:p>
      <w:pPr>
        <w:ind w:left="512" w:hanging="512"/>
        <w:spacing w:after="0"/>
        <w:tabs>
          <w:tab w:leader="none" w:pos="51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entered into the following significant transactions with its related parties:</w:t>
      </w:r>
    </w:p>
    <w:p>
      <w:pPr>
        <w:spacing w:after="0" w:line="120" w:lineRule="exact"/>
        <w:rPr>
          <w:sz w:val="20"/>
          <w:szCs w:val="20"/>
          <w:color w:val="auto"/>
        </w:rPr>
      </w:pPr>
    </w:p>
    <w:tbl>
      <w:tblPr>
        <w:tblLayout w:type="fixed"/>
        <w:tblInd w:w="1132"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Nature of transactions</w:t>
            </w:r>
          </w:p>
        </w:tc>
        <w:tc>
          <w:tcPr>
            <w:tcW w:w="2760" w:type="dxa"/>
            <w:vAlign w:val="bottom"/>
            <w:tcBorders>
              <w:bottom w:val="single" w:sz="8" w:color="auto"/>
            </w:tcBorders>
            <w:gridSpan w:val="9"/>
          </w:tcPr>
          <w:p>
            <w:pPr>
              <w:jc w:val="center"/>
              <w:ind w:lef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RMB</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Services provided by related parties:</w:t>
            </w: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Jiayin Zhuoyue (1)</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115,538</w:t>
            </w:r>
          </w:p>
        </w:tc>
        <w:tc>
          <w:tcPr>
            <w:tcW w:w="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74,549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Shanghai Jiayin (2)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gridSpan w:val="2"/>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118,074</w:t>
            </w:r>
          </w:p>
        </w:tc>
        <w:tc>
          <w:tcPr>
            <w:tcW w:w="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74,549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Services provided to related parties:</w:t>
            </w: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Jiayin Technology Service (3)</w:t>
            </w: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31,034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31,034</w:t>
            </w: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r>
      <w:tr>
        <w:trPr>
          <w:trHeight w:val="358"/>
        </w:trPr>
        <w:tc>
          <w:tcPr>
            <w:tcW w:w="20" w:type="dxa"/>
            <w:vAlign w:val="bottom"/>
          </w:tcPr>
          <w:p>
            <w:pPr>
              <w:spacing w:after="0"/>
              <w:rPr>
                <w:sz w:val="24"/>
                <w:szCs w:val="24"/>
                <w:color w:val="auto"/>
              </w:rPr>
            </w:pPr>
          </w:p>
        </w:tc>
        <w:tc>
          <w:tcPr>
            <w:tcW w:w="5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Nature of transactions</w:t>
            </w:r>
          </w:p>
        </w:tc>
        <w:tc>
          <w:tcPr>
            <w:tcW w:w="2760" w:type="dxa"/>
            <w:vAlign w:val="bottom"/>
            <w:gridSpan w:val="9"/>
          </w:tcPr>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Loans to related parties:</w:t>
            </w: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Shanghai Jiayin (4)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Keen Best (5)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13,904</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8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Subsidiary shareholder</w:t>
            </w: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13,906</w:t>
            </w: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120,003</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550,000</w:t>
            </w: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Loans from related parties: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Shanghai Jiayin (6)</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80" w:type="dxa"/>
            <w:vAlign w:val="bottom"/>
            <w:gridSpan w:val="5"/>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720,000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Dream (7)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Sunshinewoods (8)</w:t>
            </w:r>
          </w:p>
        </w:tc>
        <w:tc>
          <w:tcPr>
            <w:tcW w:w="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27,335</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27,335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756,471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-2382520</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-2382520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-2382520</wp:posOffset>
            </wp:positionV>
            <wp:extent cx="596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-1824990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4766310</wp:posOffset>
            </wp:positionH>
            <wp:positionV relativeFrom="paragraph">
              <wp:posOffset>-1807845</wp:posOffset>
            </wp:positionV>
            <wp:extent cx="514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-1824990</wp:posOffset>
            </wp:positionV>
            <wp:extent cx="514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-1807845</wp:posOffset>
            </wp:positionV>
            <wp:extent cx="514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-1824990</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-1807845</wp:posOffset>
            </wp:positionV>
            <wp:extent cx="596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-702310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-685165</wp:posOffset>
            </wp:positionV>
            <wp:extent cx="603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-702310</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-685165</wp:posOffset>
            </wp:positionV>
            <wp:extent cx="514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-702310</wp:posOffset>
            </wp:positionV>
            <wp:extent cx="514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-685165</wp:posOffset>
            </wp:positionV>
            <wp:extent cx="514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-161925</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-161925</wp:posOffset>
            </wp:positionV>
            <wp:extent cx="514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6369050</wp:posOffset>
            </wp:positionH>
            <wp:positionV relativeFrom="paragraph">
              <wp:posOffset>-161925</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left="5452"/>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251" w:right="1440" w:bottom="1440" w:gutter="0" w:footer="0" w:header="0"/>
        </w:sectPr>
      </w:pPr>
    </w:p>
    <w:bookmarkStart w:id="197" w:name="page198"/>
    <w:bookmarkEnd w:id="197"/>
    <w:p>
      <w:pPr>
        <w:ind w:left="520" w:hanging="512"/>
        <w:spacing w:after="0"/>
        <w:tabs>
          <w:tab w:leader="none" w:pos="5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 Zhuoyue refers investors to the Group and charged referral service fees.</w:t>
      </w:r>
    </w:p>
    <w:p>
      <w:pPr>
        <w:spacing w:after="0" w:line="14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Jiayin rented office space to the Group from April 2022 with lease period of 12 months and charged other related service fee, which is calculated dependent on its usage of the underlying office space.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2024 represents loan facilitation services provided by the Group to Jiayin Technology, who funded loans through a trust as the sole beneficiary. The amount in 2025 represents rental income from the Group's lease of office space to Jiayin Technology commencing July 2025.</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2024 represents loans to Shanghai Jiayin in November 2024 that were non-interest bearing, unsecured and due in 1 year, and has been fully collected as of December 31, 2024. The amount in 2025 represents loans to Shanghai Jiayin through 2025, comprised non-interest bearing loan of RMB250,000 due in 3 months, and has been fully collected as of December 31, 2025, and interest bearing loan with principal of RMB300,000, fixed annual interest rate of 3% and due in 6 months.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non-interest bearing loans to Keen Best in May 2023, which have been fully collected as of December 31, 2023.</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loans from Shanghai Jiayin through 2025 that were non-interest bearing, unsecured and due in 3 months, and has been fully repaid as of December 31,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2025 represents loan that was unsecured and due in 1 year, with principal of RMB21,818 and fixed annual interest rate of 8%.</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2024 represents loans that were unsecured and due in 1 year, with principal of RMB27,335 and fixed annual interest rate of 8%, among which RMB5,828 has been repaid in 2024, and the remaining loans have been extended for one year with the same interest rate. The amount in 2025 represents loan that was unsecured and due in 1 year, with principal of RMB14,653 and fixed annual interest rate of 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8" w:name="page199"/>
    <w:bookmarkEnd w:id="198"/>
    <w:p>
      <w:pPr>
        <w:ind w:left="512" w:hanging="512"/>
        <w:spacing w:after="0"/>
        <w:tabs>
          <w:tab w:leader="none" w:pos="512"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 </w:t>
      </w:r>
      <w:r>
        <w:rPr>
          <w:rFonts w:ascii="Times New Roman" w:cs="Times New Roman" w:eastAsia="Times New Roman" w:hAnsi="Times New Roman"/>
          <w:sz w:val="18"/>
          <w:szCs w:val="18"/>
          <w:color w:val="auto"/>
        </w:rPr>
        <w:t>continued</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amounts due from and due to related parties as of December 31, 2024 and 2025:</w:t>
      </w:r>
    </w:p>
    <w:p>
      <w:pPr>
        <w:spacing w:after="0" w:line="113" w:lineRule="exact"/>
        <w:rPr>
          <w:sz w:val="20"/>
          <w:szCs w:val="20"/>
          <w:color w:val="auto"/>
        </w:rPr>
      </w:pPr>
    </w:p>
    <w:tbl>
      <w:tblPr>
        <w:tblLayout w:type="fixed"/>
        <w:tblInd w:w="1132"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8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187"/>
        </w:trPr>
        <w:tc>
          <w:tcPr>
            <w:tcW w:w="6140" w:type="dxa"/>
            <w:vAlign w:val="bottom"/>
          </w:tcPr>
          <w:p>
            <w:pPr>
              <w:spacing w:after="0"/>
              <w:rPr>
                <w:sz w:val="16"/>
                <w:szCs w:val="16"/>
                <w:color w:val="auto"/>
              </w:rPr>
            </w:pPr>
          </w:p>
        </w:tc>
        <w:tc>
          <w:tcPr>
            <w:tcW w:w="1280" w:type="dxa"/>
            <w:vAlign w:val="bottom"/>
            <w:tcBorders>
              <w:top w:val="single" w:sz="8" w:color="auto"/>
            </w:tcBorders>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top w:val="single" w:sz="8" w:color="auto"/>
            </w:tcBorders>
            <w:gridSpan w:val="2"/>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r>
      <w:tr>
        <w:trPr>
          <w:trHeight w:val="238"/>
        </w:trPr>
        <w:tc>
          <w:tcPr>
            <w:tcW w:w="614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Shanghai Jiayin (1)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301,184</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Jiayin Technology (2)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301,184</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New Dream (3)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165,185</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Sunshinewoods (4)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68,552</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Dream Glory L.P. (5)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47,193</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Jiayin Zhuoyue (6)</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Jiayin Technology (7)</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89,947</w:t>
            </w:r>
          </w:p>
        </w:tc>
        <w:tc>
          <w:tcPr>
            <w:tcW w:w="1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288,100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5434965</wp:posOffset>
            </wp:positionH>
            <wp:positionV relativeFrom="paragraph">
              <wp:posOffset>-25400</wp:posOffset>
            </wp:positionV>
            <wp:extent cx="514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-8255</wp:posOffset>
            </wp:positionV>
            <wp:extent cx="514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-25400</wp:posOffset>
            </wp:positionV>
            <wp:extent cx="596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-8255</wp:posOffset>
            </wp:positionV>
            <wp:extent cx="596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4" w:lineRule="exact"/>
        <w:rPr>
          <w:sz w:val="20"/>
          <w:szCs w:val="20"/>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outstanding loans receivable from related parties.</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2024 represents uncollected service fees for services provided to related parties, which has been fully collected in 2025.</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unpaid dividends of RMB142,635 and loans payable of RMB22,550.</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unpaid dividends of RMB30,546 and loans payable of RMB38,006.</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unpaid dividends distributed to shareholders.</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unsettled service fees for services provided by related parties.</w:t>
      </w:r>
    </w:p>
    <w:p>
      <w:pPr>
        <w:spacing w:after="0" w:line="117" w:lineRule="exact"/>
        <w:rPr>
          <w:rFonts w:ascii="Times New Roman" w:cs="Times New Roman" w:eastAsia="Times New Roman" w:hAnsi="Times New Roman"/>
          <w:sz w:val="18"/>
          <w:szCs w:val="18"/>
          <w:color w:val="auto"/>
        </w:rPr>
      </w:pPr>
    </w:p>
    <w:p>
      <w:pPr>
        <w:ind w:left="1012" w:hanging="503"/>
        <w:spacing w:after="0"/>
        <w:tabs>
          <w:tab w:leader="none" w:pos="10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rental deposit from related parties.</w:t>
      </w:r>
    </w:p>
    <w:p>
      <w:pPr>
        <w:spacing w:after="0" w:line="225"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32"/>
          </w:cols>
          <w:pgMar w:left="328" w:top="1359" w:right="839" w:bottom="1440" w:gutter="0" w:footer="0" w:header="0"/>
        </w:sectPr>
      </w:pPr>
    </w:p>
    <w:bookmarkStart w:id="199" w:name="page200"/>
    <w:bookmarkEnd w:id="199"/>
    <w:p>
      <w:pPr>
        <w:ind w:left="520" w:right="7280" w:hanging="512"/>
        <w:spacing w:after="0" w:line="400" w:lineRule="auto"/>
        <w:tabs>
          <w:tab w:leader="none" w:pos="520" w:val="left"/>
        </w:tabs>
        <w:numPr>
          <w:ilvl w:val="0"/>
          <w:numId w:val="1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u w:val="single" w:color="auto"/>
          <w:color w:val="auto"/>
        </w:rPr>
        <w:t>Capital and other commitments</w:t>
      </w:r>
    </w:p>
    <w:p>
      <w:pPr>
        <w:ind w:left="5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did not have any other significant capital, other commitments or long-term obligations as of December 31, 2025, other than the items disclosed in Note 14.</w:t>
      </w:r>
    </w:p>
    <w:p>
      <w:pPr>
        <w:spacing w:after="0" w:line="53"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Contingencies</w:t>
      </w:r>
    </w:p>
    <w:p>
      <w:pPr>
        <w:spacing w:after="0" w:line="117" w:lineRule="exact"/>
        <w:rPr>
          <w:rFonts w:ascii="Times New Roman" w:cs="Times New Roman" w:eastAsia="Times New Roman" w:hAnsi="Times New Roman"/>
          <w:sz w:val="17"/>
          <w:szCs w:val="17"/>
          <w:b w:val="1"/>
          <w:bCs w:val="1"/>
          <w:color w:val="auto"/>
        </w:rPr>
      </w:pPr>
    </w:p>
    <w:p>
      <w:pPr>
        <w:jc w:val="both"/>
        <w:ind w:left="5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are currently not a party to any material legal or administrative proceedings. The Group may from time to time be subject to various legal or administrative claims and proceedings arising in the ordinary course of business. Litigation or any other legal or administrative proceeding, regardless of the outcome, is likely to result in substantial cost and diversion of the Group’s resources, including the Group’s management’s time and attention.</w:t>
      </w:r>
    </w:p>
    <w:p>
      <w:pPr>
        <w:spacing w:after="0" w:line="67"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VIEs and subsidiaries of the VIEs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w:t>
      </w:r>
    </w:p>
    <w:p>
      <w:pPr>
        <w:spacing w:after="0" w:line="75" w:lineRule="exact"/>
        <w:rPr>
          <w:rFonts w:ascii="Times New Roman" w:cs="Times New Roman" w:eastAsia="Times New Roman" w:hAnsi="Times New Roman"/>
          <w:sz w:val="18"/>
          <w:szCs w:val="18"/>
          <w:b w:val="1"/>
          <w:bCs w:val="1"/>
          <w:color w:val="auto"/>
        </w:rPr>
      </w:pPr>
    </w:p>
    <w:p>
      <w:pPr>
        <w:jc w:val="both"/>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PRC law, the Company’s subsidiaries, VIEs and the subsidiaries of the VIEs located in the PRC (collectively referred as the “PRC entities”) are required to provide for certain statutory reserves, namely a general reserve, an enterprise expansion fund and a staff welfare and bonus fund. The PRC entities are required to allocate at least 10% of their after tax profits on an individual company basis as determined under PRC accounting standards to the statutory reserve and has the right to discontinue allocations to the statutory reserve if such reserve has reached 50% of registered capital on an individual company basis. In addition, the registered capital of the PRC entities is also restricted.</w:t>
      </w:r>
    </w:p>
    <w:p>
      <w:pPr>
        <w:spacing w:after="0" w:line="75" w:lineRule="exact"/>
        <w:rPr>
          <w:rFonts w:ascii="Times New Roman" w:cs="Times New Roman" w:eastAsia="Times New Roman" w:hAnsi="Times New Roman"/>
          <w:sz w:val="18"/>
          <w:szCs w:val="18"/>
          <w:b w:val="1"/>
          <w:bCs w:val="1"/>
          <w:color w:val="auto"/>
        </w:rPr>
      </w:pPr>
    </w:p>
    <w:p>
      <w:pPr>
        <w:ind w:lef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restricted that include paid in capital and statutory reserve funds, as determined pursuant to PRC GAAP, is RMB 2,767,073 as of December 31, 2025.</w:t>
      </w:r>
    </w:p>
    <w:p>
      <w:pPr>
        <w:spacing w:after="0" w:line="4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jc w:val="both"/>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balance sheet date, the Group additionally net transferred financial supports of approximately RMB122 million as deposits to the third-party company who provides back-to-back guarantee services to the Group as mentioned in Note 2(k) and Note 4. The contractual payment schedule has been agreed with this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00" w:name="page201"/>
    <w:bookmarkEnd w:id="20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JIAYIN GROUP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ADDITIONAL INFORMATION—FINANCIAL STATEMENTS SCHEDULE I</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FINANCIAL INFORMATION OF PARENT COMPANY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136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82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6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from subsidiaries and VIEs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191,103</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193,907</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28,864</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Investments in subsidiaries and VIEs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3,101,038</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4,742,735</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3,294,945</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4,944,581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707,066</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111,406</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256,379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54,266</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255,218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36,496</w:t>
            </w:r>
          </w:p>
        </w:tc>
        <w:tc>
          <w:tcPr>
            <w:tcW w:w="100" w:type="dxa"/>
            <w:vAlign w:val="bottom"/>
          </w:tcPr>
          <w:p>
            <w:pPr>
              <w:spacing w:after="0"/>
              <w:rPr>
                <w:sz w:val="18"/>
                <w:szCs w:val="18"/>
                <w:color w:val="auto"/>
              </w:rPr>
            </w:pPr>
          </w:p>
        </w:tc>
      </w:tr>
      <w:tr>
        <w:trPr>
          <w:trHeight w:val="249"/>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165,672</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511,597</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stock</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(28,889)</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(189,685)</w:t>
            </w: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(27,125)</w:t>
            </w:r>
          </w:p>
        </w:tc>
      </w:tr>
      <w:tr>
        <w:trPr>
          <w:trHeight w:val="216"/>
        </w:trPr>
        <w:tc>
          <w:tcPr>
            <w:tcW w:w="5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909,649</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1,131,030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161,735</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2,241,414</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497,746</w:t>
            </w:r>
          </w:p>
        </w:tc>
        <w:tc>
          <w:tcPr>
            <w:tcW w:w="100" w:type="dxa"/>
            <w:vAlign w:val="bottom"/>
          </w:tcPr>
          <w:p>
            <w:pPr>
              <w:spacing w:after="0"/>
              <w:rPr>
                <w:sz w:val="18"/>
                <w:szCs w:val="18"/>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3,129,273</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4,432,984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633,908</w:t>
            </w:r>
          </w:p>
        </w:tc>
        <w:tc>
          <w:tcPr>
            <w:tcW w:w="10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3,294,945</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4,944,581</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707,066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-2313940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-2313940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-2313940</wp:posOffset>
            </wp:positionV>
            <wp:extent cx="603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-2031365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-2031365</wp:posOffset>
            </wp:positionV>
            <wp:extent cx="6032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-2031365</wp:posOffset>
            </wp:positionV>
            <wp:extent cx="6032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-1165225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-1148080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-1165225</wp:posOffset>
            </wp:positionV>
            <wp:extent cx="603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-1148080</wp:posOffset>
            </wp:positionV>
            <wp:extent cx="603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-1165225</wp:posOffset>
            </wp:positionV>
            <wp:extent cx="6032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-316865</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-316865</wp:posOffset>
            </wp:positionV>
            <wp:extent cx="6032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less than one thousand is rounded to zero.</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59" w:right="899" w:bottom="1440" w:gutter="0" w:footer="0" w:header="0"/>
        </w:sectPr>
      </w:pPr>
    </w:p>
    <w:bookmarkStart w:id="201" w:name="page202"/>
    <w:bookmarkEnd w:id="2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JIAYIN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ADDITIONAL INFORMATION—FINANCIAL STATEMENTS SCHEDULE 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FINANCIAL INFORMATION OF PARENT COMPANY STATEMENTS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66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(4,546)</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contingent guarantee liabilities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(24,542)</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(3,509)</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(4,546)</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(3,736)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(27,869)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(3,985)</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(4,546)</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(3,736)</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(27,869)</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(3,985)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187"/>
        </w:trPr>
        <w:tc>
          <w:tcPr>
            <w:tcW w:w="580" w:type="dxa"/>
            <w:vAlign w:val="bottom"/>
          </w:tcPr>
          <w:p>
            <w:pPr>
              <w:spacing w:after="0"/>
              <w:rPr>
                <w:sz w:val="16"/>
                <w:szCs w:val="16"/>
                <w:color w:val="auto"/>
              </w:rPr>
            </w:pPr>
          </w:p>
        </w:tc>
        <w:tc>
          <w:tcPr>
            <w:tcW w:w="486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subsidiaries</w:t>
            </w: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580" w:type="dxa"/>
            <w:vAlign w:val="bottom"/>
          </w:tcPr>
          <w:p>
            <w:pPr>
              <w:spacing w:after="0"/>
              <w:rPr>
                <w:sz w:val="20"/>
                <w:szCs w:val="20"/>
                <w:color w:val="auto"/>
              </w:rPr>
            </w:pP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share of loss from VIEs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(3,448)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(3,741)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(26,742)</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(3,824)</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of subsidiaries and share of loss from VIEs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1,301,067</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1,060,219</w:t>
            </w:r>
          </w:p>
        </w:tc>
        <w:tc>
          <w:tcPr>
            <w:tcW w:w="2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1,562,484</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223,432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1,297,619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1,056,478</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1,535,742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198"/>
        </w:trPr>
        <w:tc>
          <w:tcPr>
            <w:tcW w:w="58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changes and changes in cumulative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(7,077)</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(7,077)</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(3,202)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3,752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1,290,542</w:t>
            </w:r>
          </w:p>
        </w:tc>
        <w:tc>
          <w:tcPr>
            <w:tcW w:w="22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1,053,276</w:t>
            </w:r>
          </w:p>
        </w:tc>
        <w:tc>
          <w:tcPr>
            <w:tcW w:w="20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1,539,494</w:t>
            </w:r>
          </w:p>
        </w:tc>
        <w:tc>
          <w:tcPr>
            <w:tcW w:w="1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220,145</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99"/>
              </w:rPr>
              <w:t>F-46</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-2759710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-2759710</wp:posOffset>
            </wp:positionV>
            <wp:extent cx="60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-2759710</wp:posOffset>
            </wp:positionV>
            <wp:extent cx="6032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-2759710</wp:posOffset>
            </wp:positionV>
            <wp:extent cx="603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-2193925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-2193925</wp:posOffset>
            </wp:positionV>
            <wp:extent cx="603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-2193925</wp:posOffset>
            </wp:positionV>
            <wp:extent cx="603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-2193925</wp:posOffset>
            </wp:positionV>
            <wp:extent cx="603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-1773555</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-1773555</wp:posOffset>
            </wp:positionV>
            <wp:extent cx="603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-1773555</wp:posOffset>
            </wp:positionV>
            <wp:extent cx="603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-1773555</wp:posOffset>
            </wp:positionV>
            <wp:extent cx="603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-1079500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02" w:name="page203"/>
    <w:bookmarkEnd w:id="2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JIAYIN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ADDITIONAL INFORMATION—FINANCIAL STATEMENTS SCHEDULE I</w:t>
      </w:r>
    </w:p>
    <w:p>
      <w:pPr>
        <w:spacing w:after="0" w:line="9" w:lineRule="exact"/>
        <w:rPr>
          <w:sz w:val="20"/>
          <w:szCs w:val="20"/>
          <w:color w:val="auto"/>
        </w:rPr>
      </w:pPr>
    </w:p>
    <w:p>
      <w:pPr>
        <w:ind w:left="2460" w:right="2200" w:hanging="304"/>
        <w:spacing w:after="0" w:line="290" w:lineRule="auto"/>
        <w:rPr>
          <w:sz w:val="20"/>
          <w:szCs w:val="20"/>
          <w:color w:val="auto"/>
        </w:rPr>
      </w:pPr>
      <w:r>
        <w:rPr>
          <w:rFonts w:ascii="Times New Roman" w:cs="Times New Roman" w:eastAsia="Times New Roman" w:hAnsi="Times New Roman"/>
          <w:sz w:val="17"/>
          <w:szCs w:val="17"/>
          <w:b w:val="1"/>
          <w:bCs w:val="1"/>
          <w:color w:val="auto"/>
        </w:rPr>
        <w:t>CONDENSED STATEMENTS OF PARENT COMPANY CASH FLOW STATEMENTS (AMOUNT IN THOUSANDS, EXCEPT FOR SHARE AND PER SHARE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6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1,297,619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1,056,478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1,535,742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219,608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6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from subsidiaries and VIEs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(1,301,067)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(1,060,219)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(1,562,484)</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(223,432)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contingent guarantee liabilities</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tcPr>
          <w:p>
            <w:pPr>
              <w:spacing w:after="0"/>
              <w:rPr>
                <w:sz w:val="18"/>
                <w:szCs w:val="18"/>
                <w:color w:val="auto"/>
              </w:rPr>
            </w:pP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from/to subsidiaries and VIEs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(11,332)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(1,223)</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(12,907)</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Return on equity method investments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303,652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(3,563)</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144,310</w:t>
            </w:r>
          </w:p>
        </w:tc>
        <w:tc>
          <w:tcPr>
            <w:tcW w:w="20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300,515</w:t>
            </w:r>
          </w:p>
        </w:tc>
        <w:tc>
          <w:tcPr>
            <w:tcW w:w="180" w:type="dxa"/>
            <w:vAlign w:val="bottom"/>
            <w:tcBorders>
              <w:top w:val="single" w:sz="8" w:color="CFF0F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101,442</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14,506</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(38,081)</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(53,261)</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(110,731)</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Loans from subsidiaries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distributed to shareholders</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(156,674)</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(301,175)</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(108,156)</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(155,400)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(301,006)</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(97,850)</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 w:type="dxa"/>
            <w:vAlign w:val="bottom"/>
          </w:tcPr>
          <w:p>
            <w:pPr>
              <w:spacing w:after="0"/>
              <w:rPr>
                <w:sz w:val="16"/>
                <w:szCs w:val="16"/>
                <w:color w:val="auto"/>
              </w:rPr>
            </w:pPr>
          </w:p>
        </w:tc>
        <w:tc>
          <w:tcPr>
            <w:tcW w:w="4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Effect of foreign exchange rate changes on</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0" w:type="dxa"/>
            <w:vAlign w:val="bottom"/>
            <w:shd w:val="clear" w:color="auto" w:fill="CFF0FC"/>
          </w:tcPr>
          <w:p>
            <w:pPr>
              <w:spacing w:after="0"/>
              <w:rPr>
                <w:sz w:val="16"/>
                <w:szCs w:val="16"/>
                <w:color w:val="auto"/>
              </w:rPr>
            </w:pPr>
          </w:p>
        </w:tc>
        <w:tc>
          <w:tcPr>
            <w:tcW w:w="1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(2,766)</w:t>
            </w:r>
          </w:p>
        </w:tc>
        <w:tc>
          <w:tcPr>
            <w:tcW w:w="240" w:type="dxa"/>
            <w:vAlign w:val="bottom"/>
            <w:shd w:val="clear" w:color="auto" w:fill="CFF0FC"/>
          </w:tcPr>
          <w:p>
            <w:pPr>
              <w:spacing w:after="0"/>
              <w:rPr>
                <w:sz w:val="16"/>
                <w:szCs w:val="16"/>
                <w:color w:val="auto"/>
              </w:rPr>
            </w:pPr>
          </w:p>
        </w:tc>
        <w:tc>
          <w:tcPr>
            <w:tcW w:w="10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(7,763)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8,567</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F-47</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-2614295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-2614295</wp:posOffset>
            </wp:positionV>
            <wp:extent cx="596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-2614295</wp:posOffset>
            </wp:positionV>
            <wp:extent cx="603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-2614295</wp:posOffset>
            </wp:positionV>
            <wp:extent cx="6032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-1774190</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-1774190</wp:posOffset>
            </wp:positionV>
            <wp:extent cx="596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-1774190</wp:posOffset>
            </wp:positionV>
            <wp:extent cx="603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-1774190</wp:posOffset>
            </wp:positionV>
            <wp:extent cx="6032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-1353820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-1353820</wp:posOffset>
            </wp:positionV>
            <wp:extent cx="596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-1353820</wp:posOffset>
            </wp:positionV>
            <wp:extent cx="603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-1353820</wp:posOffset>
            </wp:positionV>
            <wp:extent cx="603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03" w:name="page204"/>
    <w:bookmarkEnd w:id="2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JIAYIN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ADDITIONAL INFORMATION—FINANCIAL STATEMENTS SCHEDULE I</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SCHEDULE I</w:t>
      </w:r>
    </w:p>
    <w:p>
      <w:pPr>
        <w:spacing w:after="0" w:line="99" w:lineRule="exact"/>
        <w:rPr>
          <w:sz w:val="20"/>
          <w:szCs w:val="20"/>
          <w:color w:val="auto"/>
        </w:rPr>
      </w:pPr>
    </w:p>
    <w:p>
      <w:pPr>
        <w:jc w:val="both"/>
        <w:ind w:left="520" w:hanging="512"/>
        <w:spacing w:after="0" w:line="261"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has been provided pursuant to the requirements of Rule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information has been prepared using the same accounting policies as set out in the consolidated financial statements except that the equity method has been used to account for investments in its subsidiaries and VIEs. The Company records its investments in subsidiaries and VIEs under the equity method of accounting as prescribed in ASC Topic 323, Investments—Equity Method and Joint Ventures. Such investments are presented on the Condensed Balance Sheets as “Investment in subsidiaries and VIEs” and share of their earnings as “Equity in earnings of subsidiaries and VIEs” on the Condensed Statements of Comprehensive Income.</w:t>
      </w:r>
    </w:p>
    <w:p>
      <w:pPr>
        <w:spacing w:after="0" w:line="7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The footnote disclosure certain supplemental information relating to the operations of the Company and, as such, these statements should be read in conjunction with the notes to the accompanying Consolidated Financial Statements.</w:t>
      </w:r>
    </w:p>
    <w:p>
      <w:pPr>
        <w:spacing w:after="0" w:line="6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2025, there were no material contingencies, significant provisions of long-term obligations, mandatory dividend or redemption requirements of redeemable stocks or guarantees of the Company.</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Translations of balances in the additional financial information of Parent Company- Financial Statements Schedule I from RMB into US$ as of and for the year ended December 31, 2025 are solely for the convenience of the readers and were calculated at the rate of US$1.00= RMB6.9931, representing the noon buying rate set forth in the H.10 statistical release of the U.S. Federal Reserve Board on December 31, 2025. No representation is made that the RMB amounts could have been, or could be, converted, realized or settled into US$ at that rate or at any other rate.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04" w:name="page205"/>
    <w:bookmarkEnd w:id="204"/>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4.20</w:t>
      </w:r>
    </w:p>
    <w:p>
      <w:pPr>
        <w:spacing w:after="0" w:line="21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5"/>
          <w:szCs w:val="25"/>
          <w:b w:val="1"/>
          <w:bCs w:val="1"/>
          <w:color w:val="auto"/>
        </w:rPr>
        <w:t>M&amp;A Syndicated Loan Contract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Contract No.: [Redacted]</w:t>
      </w:r>
    </w:p>
    <w:p>
      <w:pPr>
        <w:spacing w:after="0" w:line="2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Dated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Jirong Zhicheng Enterprise Development Co., Ltd.]</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color w:val="auto"/>
        </w:rPr>
        <w:t>(Acting as the Borrower)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[Redacted]</w:t>
      </w:r>
    </w:p>
    <w:p>
      <w:pPr>
        <w:spacing w:after="0" w:line="2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(Acting as the Lead Arranger)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b w:val="1"/>
          <w:bCs w:val="1"/>
          <w:color w:val="auto"/>
        </w:rPr>
        <w:t>[Redacted]</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[Redacted]</w:t>
      </w:r>
    </w:p>
    <w:p>
      <w:pPr>
        <w:spacing w:after="0" w:line="2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(Acting as the Lenders)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[Redacted]</w:t>
      </w:r>
    </w:p>
    <w:p>
      <w:pPr>
        <w:spacing w:after="0" w:line="21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(Acting as the Agent)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636905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5" w:name="page206"/>
    <w:bookmarkEnd w:id="205"/>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620" w:type="dxa"/>
            <w:vAlign w:val="bottom"/>
          </w:tcPr>
          <w:p>
            <w:pPr>
              <w:ind w:left="620"/>
              <w:spacing w:after="0"/>
              <w:rPr>
                <w:sz w:val="20"/>
                <w:szCs w:val="20"/>
                <w:color w:val="auto"/>
              </w:rPr>
            </w:pPr>
            <w:r>
              <w:rPr>
                <w:rFonts w:ascii="Times New Roman" w:cs="Times New Roman" w:eastAsia="Times New Roman" w:hAnsi="Times New Roman"/>
                <w:sz w:val="25"/>
                <w:szCs w:val="25"/>
                <w:b w:val="1"/>
                <w:bCs w:val="1"/>
                <w:color w:val="auto"/>
              </w:rPr>
              <w:t>Table of Contents</w:t>
            </w:r>
          </w:p>
        </w:tc>
      </w:tr>
      <w:tr>
        <w:trPr>
          <w:trHeight w:val="642"/>
        </w:trPr>
        <w:tc>
          <w:tcPr>
            <w:tcW w:w="4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Title</w:t>
            </w:r>
          </w:p>
        </w:tc>
        <w:tc>
          <w:tcPr>
            <w:tcW w:w="3560" w:type="dxa"/>
            <w:vAlign w:val="bottom"/>
          </w:tcPr>
          <w:p>
            <w:pPr>
              <w:spacing w:after="0"/>
              <w:rPr>
                <w:sz w:val="24"/>
                <w:szCs w:val="24"/>
                <w:color w:val="auto"/>
              </w:rPr>
            </w:pP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b w:val="1"/>
                <w:bCs w:val="1"/>
                <w:color w:val="auto"/>
                <w:w w:val="97"/>
              </w:rPr>
              <w:t>Page No.</w:t>
            </w:r>
          </w:p>
        </w:tc>
      </w:tr>
      <w:tr>
        <w:trPr>
          <w:trHeight w:val="540"/>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I.</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Definitions and Interpretation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1.1</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Definitions</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1.2</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Rules of Interpretation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14</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II.</w:t>
            </w:r>
          </w:p>
        </w:tc>
        <w:tc>
          <w:tcPr>
            <w:tcW w:w="35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Loan Amount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III.</w:t>
            </w:r>
          </w:p>
        </w:tc>
        <w:tc>
          <w:tcPr>
            <w:tcW w:w="35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Purpose of the Loan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IV.</w:t>
            </w:r>
          </w:p>
        </w:tc>
        <w:tc>
          <w:tcPr>
            <w:tcW w:w="35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Drawdown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Drawdown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Conditions to the First Drawdown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16</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4.3</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Conditions to Each Drawdown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Participation Notice</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V.</w:t>
            </w:r>
          </w:p>
        </w:tc>
        <w:tc>
          <w:tcPr>
            <w:tcW w:w="35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Interest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5.1</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Loan Interest Rate</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5.2</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Default Interest Rate</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5.3</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Interest Period</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5.4</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Calculation of Interests</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5.5</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Interest Settlement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19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VI.</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Repayment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6.1</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Loan Term</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6.2</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Repayment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6.3</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Repayment Reserve Account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VII.</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Prepayment and Cancellation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7.1</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Voluntary Prepayment</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7.2</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Voluntary Cancellation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7.3</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Automatic Cancellation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22</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7.4</w:t>
            </w:r>
          </w:p>
        </w:tc>
        <w:tc>
          <w:tcPr>
            <w:tcW w:w="35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Mandatory Cancellation</w:t>
            </w:r>
          </w:p>
        </w:tc>
        <w:tc>
          <w:tcPr>
            <w:tcW w:w="6620" w:type="dxa"/>
            <w:vAlign w:val="bottom"/>
          </w:tcPr>
          <w:p>
            <w:pPr>
              <w:ind w:left="5900"/>
              <w:spacing w:after="0"/>
              <w:rPr>
                <w:sz w:val="20"/>
                <w:szCs w:val="20"/>
                <w:color w:val="auto"/>
              </w:rPr>
            </w:pPr>
            <w:r>
              <w:rPr>
                <w:rFonts w:ascii="Times New Roman" w:cs="Times New Roman" w:eastAsia="Times New Roman" w:hAnsi="Times New Roman"/>
                <w:sz w:val="19"/>
                <w:szCs w:val="19"/>
                <w:color w:val="auto"/>
              </w:rPr>
              <w:t>22</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7.5</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Mandatory Prepayment</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VIII.</w:t>
            </w:r>
          </w:p>
        </w:tc>
        <w:tc>
          <w:tcPr>
            <w:tcW w:w="60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Payment Provisions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8.1</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Disbursement of Loan Funds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8.2</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Payment of Loan Funds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8.3</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Payments by the Borrower</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8.4</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Payments by the Agent</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8.5</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Application of Payments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8.6</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Advances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8.7</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Currency of Payment</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46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8.8</w:t>
            </w:r>
          </w:p>
        </w:tc>
        <w:tc>
          <w:tcPr>
            <w:tcW w:w="6020" w:type="dxa"/>
            <w:vAlign w:val="bottom"/>
          </w:tcPr>
          <w:p>
            <w:pPr>
              <w:ind w:left="360"/>
              <w:spacing w:after="0" w:line="219" w:lineRule="exact"/>
              <w:rPr>
                <w:sz w:val="20"/>
                <w:szCs w:val="20"/>
                <w:color w:val="auto"/>
              </w:rPr>
            </w:pPr>
            <w:r>
              <w:rPr>
                <w:rFonts w:ascii="Times New Roman" w:cs="Times New Roman" w:eastAsia="Times New Roman" w:hAnsi="Times New Roman"/>
                <w:sz w:val="19"/>
                <w:szCs w:val="19"/>
                <w:color w:val="auto"/>
              </w:rPr>
              <w:t>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8.9</w:t>
            </w:r>
          </w:p>
        </w:tc>
        <w:tc>
          <w:tcPr>
            <w:tcW w:w="6020" w:type="dxa"/>
            <w:vAlign w:val="bottom"/>
          </w:tcPr>
          <w:p>
            <w:pPr>
              <w:ind w:left="360"/>
              <w:spacing w:after="0" w:line="219" w:lineRule="exact"/>
              <w:rPr>
                <w:sz w:val="20"/>
                <w:szCs w:val="20"/>
                <w:color w:val="auto"/>
              </w:rPr>
            </w:pPr>
            <w:r>
              <w:rPr>
                <w:rFonts w:ascii="Times New Roman" w:cs="Times New Roman" w:eastAsia="Times New Roman" w:hAnsi="Times New Roman"/>
                <w:sz w:val="19"/>
                <w:szCs w:val="19"/>
                <w:color w:val="auto"/>
              </w:rPr>
              <w:t>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Business Day</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r>
      <w:tr>
        <w:trPr>
          <w:trHeight w:val="40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8.10</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Redistribution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IX.</w:t>
            </w:r>
          </w:p>
        </w:tc>
        <w:tc>
          <w:tcPr>
            <w:tcW w:w="60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Security and Support</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w:t>
            </w:r>
          </w:p>
        </w:tc>
        <w:tc>
          <w:tcPr>
            <w:tcW w:w="60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Taxes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Taxes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10.2</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Stamp Duty</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XI.</w:t>
            </w:r>
          </w:p>
        </w:tc>
        <w:tc>
          <w:tcPr>
            <w:tcW w:w="60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Increased Costs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11.1</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Notice of Increased Costs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11.2</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Indemnity</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XII.</w:t>
            </w:r>
          </w:p>
        </w:tc>
        <w:tc>
          <w:tcPr>
            <w:tcW w:w="60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Changes in Law</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12.1</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Notice of Change in Law</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12.2</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Cancellation and Prepayment</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XIII.</w:t>
            </w:r>
          </w:p>
        </w:tc>
        <w:tc>
          <w:tcPr>
            <w:tcW w:w="60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Mitigation of Loss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13.1</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Mitigation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13.2</w:t>
            </w:r>
          </w:p>
        </w:tc>
        <w:tc>
          <w:tcPr>
            <w:tcW w:w="60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Limitation of Obligations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XIV.</w:t>
            </w:r>
          </w:p>
        </w:tc>
        <w:tc>
          <w:tcPr>
            <w:tcW w:w="60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Representations and Warranties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14.1</w:t>
            </w:r>
          </w:p>
        </w:tc>
        <w:tc>
          <w:tcPr>
            <w:tcW w:w="60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Legal Status</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14.2</w:t>
            </w:r>
          </w:p>
        </w:tc>
        <w:tc>
          <w:tcPr>
            <w:tcW w:w="60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Contractual Capacity</w:t>
            </w:r>
          </w:p>
        </w:tc>
        <w:tc>
          <w:tcPr>
            <w:tcW w:w="3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14.3</w:t>
            </w:r>
          </w:p>
        </w:tc>
        <w:tc>
          <w:tcPr>
            <w:tcW w:w="6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Corporate Authorization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14.4</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Approvals and Licenses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14.5</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Filing of Enterprise Information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14.6</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Enforceability</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14.7</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 Conflict with Laws or Other Instruments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14.8</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Litigation and Arbitration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14.9</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Insolvency Proceedings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14.10 No Event of Default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14.11 Compliance with Laws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14.12 Ranking of Claims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14.13 Waiver of Immunity</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14.14</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Information Disclosure</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14.15</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 Material Adverse Effect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XV.</w:t>
            </w:r>
          </w:p>
        </w:tc>
        <w:tc>
          <w:tcPr>
            <w:tcW w:w="6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Covenants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15.1</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Positive Covenants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15.2</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Negative Covenants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XVI.</w:t>
            </w:r>
          </w:p>
        </w:tc>
        <w:tc>
          <w:tcPr>
            <w:tcW w:w="6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Events of Default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16.1</w:t>
            </w:r>
          </w:p>
        </w:tc>
        <w:tc>
          <w:tcPr>
            <w:tcW w:w="6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Events of Default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16.2</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Remedies of the Lenders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16.3</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Indemnity for Losses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432"/>
        </w:trPr>
        <w:tc>
          <w:tcPr>
            <w:tcW w:w="72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XVII. Relationship among Syndicate Members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17.1</w:t>
            </w:r>
          </w:p>
        </w:tc>
        <w:tc>
          <w:tcPr>
            <w:tcW w:w="67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Appointment of the Agent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17.2</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Agency Relationship</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17.3</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Responsibilities of the Agent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17.4</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Rights of the Agent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17.5</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Independent Credit Assessment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17.6</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Agent, Arranger and Co-Arranger as the Lender</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9"/>
                <w:szCs w:val="19"/>
                <w:color w:val="auto"/>
              </w:rPr>
              <w:t>17.7</w:t>
            </w:r>
          </w:p>
        </w:tc>
        <w:tc>
          <w:tcPr>
            <w:tcW w:w="67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Syndicate Meetings</w:t>
            </w:r>
          </w:p>
        </w:tc>
        <w:tc>
          <w:tcPr>
            <w:tcW w:w="2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17.8</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Indemnity by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17.9</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Resignation of the Agent</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17.10</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Deduction and Set-off by Agent</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17.11</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Other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17.12</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Dealings with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XVIII.</w:t>
            </w:r>
          </w:p>
        </w:tc>
        <w:tc>
          <w:tcPr>
            <w:tcW w:w="72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Fees and Indemnification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18.1</w:t>
            </w:r>
          </w:p>
        </w:tc>
        <w:tc>
          <w:tcPr>
            <w:tcW w:w="7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Syndication Fees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18.2</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Syndicate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18.3</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Exchange Shortfall Indemnity</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18.4</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Calculation Basis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XIX.</w:t>
            </w:r>
          </w:p>
        </w:tc>
        <w:tc>
          <w:tcPr>
            <w:tcW w:w="7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Transfer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19.1</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Transfer by the Borrower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19.2</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Transfer by Lenders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19.3</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Effectiveness of Transfer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19.4</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Binding Effect of Transfer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19.5</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Consequences of Transfer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46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19.6</w:t>
            </w:r>
          </w:p>
        </w:tc>
        <w:tc>
          <w:tcPr>
            <w:tcW w:w="7240" w:type="dxa"/>
            <w:vAlign w:val="bottom"/>
          </w:tcPr>
          <w:p>
            <w:pPr>
              <w:ind w:left="300"/>
              <w:spacing w:after="0" w:line="219" w:lineRule="exact"/>
              <w:rPr>
                <w:sz w:val="20"/>
                <w:szCs w:val="20"/>
                <w:color w:val="auto"/>
              </w:rPr>
            </w:pPr>
            <w:r>
              <w:rPr>
                <w:rFonts w:ascii="Times New Roman" w:cs="Times New Roman" w:eastAsia="Times New Roman" w:hAnsi="Times New Roman"/>
                <w:sz w:val="19"/>
                <w:szCs w:val="19"/>
                <w:color w:val="auto"/>
              </w:rPr>
              <w:t>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liability of Transferor Lender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19.7</w:t>
            </w:r>
          </w:p>
        </w:tc>
        <w:tc>
          <w:tcPr>
            <w:tcW w:w="7240" w:type="dxa"/>
            <w:vAlign w:val="bottom"/>
          </w:tcPr>
          <w:p>
            <w:pPr>
              <w:ind w:left="300"/>
              <w:spacing w:after="0" w:line="219" w:lineRule="exact"/>
              <w:rPr>
                <w:sz w:val="20"/>
                <w:szCs w:val="20"/>
                <w:color w:val="auto"/>
              </w:rPr>
            </w:pPr>
            <w:r>
              <w:rPr>
                <w:rFonts w:ascii="Times New Roman" w:cs="Times New Roman" w:eastAsia="Times New Roman" w:hAnsi="Times New Roman"/>
                <w:sz w:val="19"/>
                <w:szCs w:val="19"/>
                <w:color w:val="auto"/>
              </w:rPr>
              <w:t>Further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liability of Transferor Lender</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r>
      <w:tr>
        <w:trPr>
          <w:trHeight w:val="40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19.8</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Bookkeeping</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19.9</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Change of Handling Bank</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7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XX.   Relationship of Rights and Obligations among Syndicate Members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20.1</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Several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20.2</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Several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XXI.</w:t>
            </w:r>
          </w:p>
        </w:tc>
        <w:tc>
          <w:tcPr>
            <w:tcW w:w="7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Confidentiality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21.1</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Scope of 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21.2</w:t>
            </w:r>
          </w:p>
        </w:tc>
        <w:tc>
          <w:tcPr>
            <w:tcW w:w="7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Scope of 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21.3</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Supersedure</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21.4</w:t>
            </w:r>
          </w:p>
        </w:tc>
        <w:tc>
          <w:tcPr>
            <w:tcW w:w="724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Information Collection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XXII.</w:t>
            </w:r>
          </w:p>
        </w:tc>
        <w:tc>
          <w:tcPr>
            <w:tcW w:w="73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Amendments and Waivers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22.1</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Application for and Consent to Amendment or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22.2</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Written Amendments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22.3</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Consent of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XXIII. 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23.1</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Notices through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23.2</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Method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23.3</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Service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23.4</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Change of Address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23.5</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Language of 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w w:val="99"/>
              </w:rPr>
              <w:t>XXIV.</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Evidence of 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XXV.</w:t>
            </w:r>
          </w:p>
        </w:tc>
        <w:tc>
          <w:tcPr>
            <w:tcW w:w="73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Cumulative Rights and Severability of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25.1</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Cumulative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25.2</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Severability of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w w:val="99"/>
              </w:rPr>
              <w:t>XXVI.</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Contract Text</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26.1</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Language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26.2</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Original Executions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XXVII. Governing Law and Dispute Resolution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27.1</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Governing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27.2</w:t>
            </w:r>
          </w:p>
        </w:tc>
        <w:tc>
          <w:tcPr>
            <w:tcW w:w="73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Dispute Resolution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rPr>
              <w:t>27.3</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Waiver of Immunity</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XXVIII. Effectiveness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9"/>
                <w:szCs w:val="19"/>
                <w:color w:val="auto"/>
                <w:w w:val="99"/>
              </w:rPr>
              <w:t>XXIX.</w:t>
            </w:r>
          </w:p>
        </w:tc>
        <w:tc>
          <w:tcPr>
            <w:tcW w:w="73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1: Original Commitments of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2: Form of Document Confirmation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3: Form of Transfer Certificate</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4: Accounts of the Parties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w:t>
            </w:r>
          </w:p>
        </w:tc>
      </w:tr>
      <w:tr>
        <w:trPr>
          <w:trHeight w:val="432"/>
        </w:trPr>
        <w:tc>
          <w:tcPr>
            <w:tcW w:w="78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Schedule 5: Basic Information of the M&amp;A Transaction and the M&amp;A Loan</w:t>
            </w:r>
          </w:p>
        </w:tc>
        <w:tc>
          <w:tcPr>
            <w:tcW w:w="2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19"/>
                <w:szCs w:val="19"/>
                <w:color w:val="auto"/>
              </w:rPr>
              <w:t>Schedule 6: Form of Drawdown Notice</w:t>
            </w:r>
          </w:p>
        </w:tc>
        <w:tc>
          <w:tcPr>
            <w:tcW w:w="3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9"/>
                <w:szCs w:val="19"/>
                <w:color w:val="auto"/>
              </w:rPr>
              <w:t>Schedule 7: Repayment Schedule</w:t>
            </w:r>
          </w:p>
        </w:tc>
        <w:tc>
          <w:tcPr>
            <w:tcW w:w="3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9"/>
                <w:szCs w:val="19"/>
                <w:color w:val="auto"/>
              </w:rPr>
              <w:t>Schedule 8: Form of Participation Notice</w:t>
            </w:r>
          </w:p>
        </w:tc>
        <w:tc>
          <w:tcPr>
            <w:tcW w:w="3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9"/>
                <w:szCs w:val="19"/>
                <w:color w:val="auto"/>
              </w:rPr>
              <w:t>Schedule 9: Form of Prepayment Notice</w:t>
            </w:r>
          </w:p>
        </w:tc>
        <w:tc>
          <w:tcPr>
            <w:tcW w:w="3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9"/>
                <w:szCs w:val="19"/>
                <w:color w:val="auto"/>
              </w:rPr>
              <w:t>Signature Page</w:t>
            </w:r>
          </w:p>
        </w:tc>
        <w:tc>
          <w:tcPr>
            <w:tcW w:w="3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Contract is entered into by and among the following Parties in [Shanghai] on [Redacted]:</w:t>
      </w:r>
    </w:p>
    <w:p>
      <w:pPr>
        <w:spacing w:after="0" w:line="210" w:lineRule="exact"/>
        <w:rPr>
          <w:sz w:val="20"/>
          <w:szCs w:val="20"/>
          <w:color w:val="auto"/>
        </w:rPr>
      </w:pPr>
    </w:p>
    <w:p>
      <w:pPr>
        <w:ind w:left="380" w:hanging="372"/>
        <w:spacing w:after="0"/>
        <w:tabs>
          <w:tab w:leader="none" w:pos="3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Jirong Zhicheng Enterprise Development Co., Ltd.], acting as the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Registered Address:</w:t>
      </w: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 Representative:</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100"/>
        <w:spacing w:after="0" w:line="413" w:lineRule="auto"/>
        <w:rPr>
          <w:sz w:val="20"/>
          <w:szCs w:val="20"/>
          <w:color w:val="auto"/>
        </w:rPr>
      </w:pPr>
      <w:r>
        <w:rPr>
          <w:rFonts w:ascii="Times New Roman" w:cs="Times New Roman" w:eastAsia="Times New Roman" w:hAnsi="Times New Roman"/>
          <w:sz w:val="19"/>
          <w:szCs w:val="19"/>
          <w:color w:val="auto"/>
        </w:rPr>
        <w:t>Zone C, 25th Floor (Actual 21st Floor), Building 1, No. 428 South Yanggao Road, China (Shanghai) Pilot Free Trade Zone, Shanghai, China Zhang Guanglin</w:t>
      </w:r>
    </w:p>
    <w:p>
      <w:pPr>
        <w:spacing w:after="0" w:line="303" w:lineRule="exact"/>
        <w:rPr>
          <w:sz w:val="20"/>
          <w:szCs w:val="20"/>
          <w:color w:val="auto"/>
        </w:rPr>
      </w:pPr>
    </w:p>
    <w:p>
      <w:pPr>
        <w:sectPr>
          <w:pgSz w:w="11900" w:h="16838" w:orient="portrait"/>
          <w:cols w:equalWidth="0" w:num="2">
            <w:col w:w="2980" w:space="720"/>
            <w:col w:w="7540"/>
          </w:cols>
          <w:pgMar w:left="320" w:top="1440" w:right="339" w:bottom="1440" w:gutter="0" w:footer="0" w:header="0"/>
          <w:type w:val="continuous"/>
        </w:sectPr>
      </w:pPr>
    </w:p>
    <w:p>
      <w:pPr>
        <w:spacing w:after="0" w:line="129" w:lineRule="exact"/>
        <w:rPr>
          <w:sz w:val="20"/>
          <w:szCs w:val="20"/>
          <w:color w:val="auto"/>
        </w:rPr>
      </w:pPr>
    </w:p>
    <w:p>
      <w:pPr>
        <w:ind w:left="420" w:hanging="382"/>
        <w:spacing w:after="0"/>
        <w:tabs>
          <w:tab w:leader="none" w:pos="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[Redacted], acting as the Lead Arranger (the “</w:t>
      </w:r>
      <w:r>
        <w:rPr>
          <w:rFonts w:ascii="Times New Roman" w:cs="Times New Roman" w:eastAsia="Times New Roman" w:hAnsi="Times New Roman"/>
          <w:sz w:val="18"/>
          <w:szCs w:val="18"/>
          <w:b w:val="1"/>
          <w:bCs w:val="1"/>
          <w:color w:val="auto"/>
        </w:rPr>
        <w:t>Lead Arranger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type w:val="continuous"/>
        </w:sectPr>
      </w:pP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Registered Address: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Legal Representative:</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Handling Bank:</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Registered Address of the Handling Bank: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Person-in-Charge of the Handling Bank:</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11" w:lineRule="exact"/>
        <w:rPr>
          <w:sz w:val="20"/>
          <w:szCs w:val="20"/>
          <w:color w:val="auto"/>
        </w:rPr>
      </w:pPr>
    </w:p>
    <w:p>
      <w:pPr>
        <w:sectPr>
          <w:pgSz w:w="11900" w:h="16838" w:orient="portrait"/>
          <w:cols w:equalWidth="0" w:num="2">
            <w:col w:w="8280" w:space="720"/>
            <w:col w:w="2240"/>
          </w:cols>
          <w:pgMar w:left="320" w:top="1440" w:right="339" w:bottom="1440" w:gutter="0" w:footer="0" w:header="0"/>
          <w:type w:val="continuous"/>
        </w:sectPr>
      </w:pPr>
    </w:p>
    <w:p>
      <w:pPr>
        <w:spacing w:after="0" w:line="11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Co-Lead Arranger</w:t>
      </w:r>
    </w:p>
    <w:p>
      <w:pPr>
        <w:sectPr>
          <w:pgSz w:w="11900" w:h="16838" w:orient="portrait"/>
          <w:cols w:equalWidth="0" w:num="1">
            <w:col w:w="11240"/>
          </w:cols>
          <w:pgMar w:left="320" w:top="1440" w:right="339" w:bottom="1440" w:gutter="0" w:footer="0" w:header="0"/>
          <w:type w:val="continuous"/>
        </w:sectPr>
      </w:pP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Registered Address: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9880" w:space="720"/>
            <w:col w:w="640"/>
          </w:cols>
          <w:pgMar w:left="320" w:top="1440" w:right="339" w:bottom="1440" w:gutter="0" w:footer="0" w:header="0"/>
          <w:type w:val="continuous"/>
        </w:sectPr>
      </w:pP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9880" w:space="720"/>
            <w:col w:w="640"/>
          </w:cols>
          <w:pgMar w:left="320" w:top="1440" w:right="339" w:bottom="1440" w:gutter="0" w:footer="0" w:header="0"/>
          <w:type w:val="continuous"/>
        </w:sectPr>
      </w:pP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Handling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9880" w:space="720"/>
            <w:col w:w="640"/>
          </w:cols>
          <w:pgMar w:left="320" w:top="1440" w:right="339" w:bottom="1440" w:gutter="0" w:footer="0" w:header="0"/>
          <w:type w:val="continuous"/>
        </w:sectPr>
      </w:pP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Registered Address of the Handling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9880" w:space="720"/>
            <w:col w:w="640"/>
          </w:cols>
          <w:pgMar w:left="320" w:top="1440" w:right="339" w:bottom="1440" w:gutter="0" w:footer="0" w:header="0"/>
          <w:type w:val="continuous"/>
        </w:sectPr>
      </w:pP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Person-in-Charge of the Handling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ectPr>
          <w:pgSz w:w="11900" w:h="16838" w:orient="portrait"/>
          <w:cols w:equalWidth="0" w:num="2">
            <w:col w:w="9880" w:space="720"/>
            <w:col w:w="640"/>
          </w:cols>
          <w:pgMar w:left="320" w:top="1440" w:right="339" w:bottom="144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 acting as the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ectPr>
          <w:pgSz w:w="11900" w:h="16838" w:orient="portrait"/>
          <w:cols w:equalWidth="0" w:num="2">
            <w:col w:w="280" w:space="140"/>
            <w:col w:w="10820"/>
          </w:cols>
          <w:pgMar w:left="320" w:top="1440" w:right="339" w:bottom="1440" w:gutter="0" w:footer="0" w:header="0"/>
          <w:type w:val="continuous"/>
        </w:sectPr>
      </w:pP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Registered Address:</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Legal Representative:</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Handling Bank:</w:t>
      </w: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Registered Address of the Handling Bank:</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ectPr>
          <w:pgSz w:w="11900" w:h="16838" w:orient="portrait"/>
          <w:cols w:equalWidth="0" w:num="2">
            <w:col w:w="8280" w:space="720"/>
            <w:col w:w="2240"/>
          </w:cols>
          <w:pgMar w:left="320" w:top="1440" w:right="339" w:bottom="1440" w:gutter="0" w:footer="0" w:header="0"/>
          <w:type w:val="continuous"/>
        </w:sectPr>
      </w:pPr>
    </w:p>
    <w:p>
      <w:pPr>
        <w:spacing w:after="0" w:line="129" w:lineRule="exact"/>
        <w:rPr>
          <w:sz w:val="20"/>
          <w:szCs w:val="20"/>
          <w:color w:val="auto"/>
        </w:rPr>
      </w:pPr>
    </w:p>
    <w:p>
      <w:pPr>
        <w:ind w:left="1000" w:right="4260" w:hanging="962"/>
        <w:spacing w:after="0" w:line="507" w:lineRule="auto"/>
        <w:tabs>
          <w:tab w:leader="none" w:pos="411"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institutions listed below, acting as the Lenders (the “</w:t>
      </w:r>
      <w:r>
        <w:rPr>
          <w:rFonts w:ascii="Times New Roman" w:cs="Times New Roman" w:eastAsia="Times New Roman" w:hAnsi="Times New Roman"/>
          <w:sz w:val="19"/>
          <w:szCs w:val="19"/>
          <w:b w:val="1"/>
          <w:bCs w:val="1"/>
          <w:color w:val="auto"/>
        </w:rPr>
        <w:t>Original Lenders</w:t>
      </w:r>
      <w:r>
        <w:rPr>
          <w:rFonts w:ascii="Times New Roman" w:cs="Times New Roman" w:eastAsia="Times New Roman" w:hAnsi="Times New Roman"/>
          <w:sz w:val="19"/>
          <w:szCs w:val="19"/>
          <w:color w:val="auto"/>
        </w:rPr>
        <w:t>”) [Redacted]</w:t>
      </w:r>
    </w:p>
    <w:p>
      <w:pPr>
        <w:spacing w:after="0" w:line="53" w:lineRule="exact"/>
        <w:rPr>
          <w:sz w:val="20"/>
          <w:szCs w:val="20"/>
          <w:color w:val="auto"/>
        </w:rPr>
      </w:pPr>
    </w:p>
    <w:p>
      <w:pPr>
        <w:ind w:left="1260"/>
        <w:spacing w:after="0"/>
        <w:tabs>
          <w:tab w:leader="none" w:pos="8980" w:val="left"/>
        </w:tabs>
        <w:rPr>
          <w:sz w:val="20"/>
          <w:szCs w:val="20"/>
          <w:color w:val="auto"/>
        </w:rPr>
      </w:pPr>
      <w:r>
        <w:rPr>
          <w:rFonts w:ascii="Times New Roman" w:cs="Times New Roman" w:eastAsia="Times New Roman" w:hAnsi="Times New Roman"/>
          <w:sz w:val="19"/>
          <w:szCs w:val="19"/>
          <w:color w:val="auto"/>
        </w:rPr>
        <w:t>Registered Address:</w:t>
      </w:r>
      <w:r>
        <w:rPr>
          <w:sz w:val="20"/>
          <w:szCs w:val="20"/>
          <w:color w:val="auto"/>
        </w:rPr>
        <w:tab/>
      </w: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2" w:name="page213"/>
    <w:bookmarkEnd w:id="212"/>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Legal Representative:</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Handling Bank:</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Registered Address of the Handling Bank:</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Person-in-Charge of the Handling Bank:</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11" w:lineRule="exact"/>
        <w:rPr>
          <w:sz w:val="20"/>
          <w:szCs w:val="20"/>
          <w:color w:val="auto"/>
        </w:rPr>
      </w:pPr>
    </w:p>
    <w:p>
      <w:pPr>
        <w:sectPr>
          <w:pgSz w:w="11900" w:h="16838" w:orient="portrait"/>
          <w:cols w:equalWidth="0" w:num="2">
            <w:col w:w="7280" w:space="720"/>
            <w:col w:w="2240"/>
          </w:cols>
          <w:pgMar w:left="1320" w:top="1440" w:right="3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ectPr>
          <w:pgSz w:w="11900" w:h="16838" w:orient="portrait"/>
          <w:cols w:equalWidth="0" w:num="1">
            <w:col w:w="10240"/>
          </w:cols>
          <w:pgMar w:left="1320" w:top="1440" w:right="339" w:bottom="1440" w:gutter="0" w:footer="0" w:header="0"/>
          <w:type w:val="continuous"/>
        </w:sectPr>
      </w:pP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Registered Address: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Legal Representative:</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Handling Bank:</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Registered Address of the Handling Bank:</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Person-in-Charge of the Handling Bank:</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11" w:lineRule="exact"/>
        <w:rPr>
          <w:sz w:val="20"/>
          <w:szCs w:val="20"/>
          <w:color w:val="auto"/>
        </w:rPr>
      </w:pPr>
    </w:p>
    <w:p>
      <w:pPr>
        <w:sectPr>
          <w:pgSz w:w="11900" w:h="16838" w:orient="portrait"/>
          <w:cols w:equalWidth="0" w:num="2">
            <w:col w:w="7280" w:space="720"/>
            <w:col w:w="2240"/>
          </w:cols>
          <w:pgMar w:left="1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465455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320" w:top="1440" w:right="339" w:bottom="1440" w:gutter="0" w:footer="0" w:header="0"/>
          <w:type w:val="continuous"/>
        </w:sectPr>
      </w:pPr>
    </w:p>
    <w:bookmarkStart w:id="213" w:name="page214"/>
    <w:bookmarkEnd w:id="213"/>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WHEREAS:</w:t>
      </w:r>
    </w:p>
    <w:p>
      <w:pPr>
        <w:spacing w:after="0" w:line="210" w:lineRule="exact"/>
        <w:rPr>
          <w:sz w:val="20"/>
          <w:szCs w:val="20"/>
          <w:color w:val="auto"/>
        </w:rPr>
      </w:pPr>
    </w:p>
    <w:p>
      <w:pPr>
        <w:ind w:left="40" w:firstLine="8"/>
        <w:spacing w:after="0" w:line="270" w:lineRule="auto"/>
        <w:tabs>
          <w:tab w:leader="none" w:pos="30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was duly incorporated on [November 7, 2024]. At present, the registered capital of the Borrower is [RMB 680,000,000.00], and the paid-in capital is [RMB 680,000,000.00].</w:t>
      </w:r>
    </w:p>
    <w:p>
      <w:pPr>
        <w:spacing w:after="0" w:line="156" w:lineRule="exact"/>
        <w:rPr>
          <w:rFonts w:ascii="Times New Roman" w:cs="Times New Roman" w:eastAsia="Times New Roman" w:hAnsi="Times New Roman"/>
          <w:sz w:val="19"/>
          <w:szCs w:val="19"/>
          <w:color w:val="auto"/>
        </w:rPr>
      </w:pPr>
    </w:p>
    <w:p>
      <w:pPr>
        <w:jc w:val="both"/>
        <w:ind w:left="40" w:firstLine="8"/>
        <w:spacing w:after="0" w:line="243" w:lineRule="auto"/>
        <w:tabs>
          <w:tab w:leader="none" w:pos="32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entered into a M&amp;A transaction contract entitled the </w:t>
      </w:r>
      <w:r>
        <w:rPr>
          <w:rFonts w:ascii="Times New Roman" w:cs="Times New Roman" w:eastAsia="Times New Roman" w:hAnsi="Times New Roman"/>
          <w:sz w:val="19"/>
          <w:szCs w:val="19"/>
          <w:i w:val="1"/>
          <w:iCs w:val="1"/>
          <w:color w:val="auto"/>
        </w:rPr>
        <w:t>Agreement for the Transfer of the Premises in [Redacted]</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M&amp;A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Contract</w:t>
      </w:r>
      <w:r>
        <w:rPr>
          <w:rFonts w:ascii="Times New Roman" w:cs="Times New Roman" w:eastAsia="Times New Roman" w:hAnsi="Times New Roman"/>
          <w:sz w:val="19"/>
          <w:szCs w:val="19"/>
          <w:color w:val="auto"/>
        </w:rPr>
        <w:t>”)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[Redacted]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counterparty to the M&amp;A transaction) in [Redacted]. Under the M&amp;A Contract,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as an onshore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acquirer, intends to achieve the consolidation or actual control of the target assets by means of asset acquisition (the “</w:t>
      </w:r>
      <w:r>
        <w:rPr>
          <w:rFonts w:ascii="Times New Roman" w:cs="Times New Roman" w:eastAsia="Times New Roman" w:hAnsi="Times New Roman"/>
          <w:sz w:val="19"/>
          <w:szCs w:val="19"/>
          <w:b w:val="1"/>
          <w:bCs w:val="1"/>
          <w:color w:val="auto"/>
        </w:rPr>
        <w:t>M&amp;A Transaction</w:t>
      </w:r>
      <w:r>
        <w:rPr>
          <w:rFonts w:ascii="Times New Roman" w:cs="Times New Roman" w:eastAsia="Times New Roman" w:hAnsi="Times New Roman"/>
          <w:sz w:val="19"/>
          <w:szCs w:val="19"/>
          <w:color w:val="auto"/>
        </w:rPr>
        <w:t xml:space="preserve">”). Accordingly,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applied to the Original Lenders for an M&amp;A loan to be used for the payment of the M&amp;A transaction price or expenses under the aforesaid </w:t>
      </w:r>
      <w:r>
        <w:rPr>
          <w:rFonts w:ascii="Times New Roman" w:cs="Times New Roman" w:eastAsia="Times New Roman" w:hAnsi="Times New Roman"/>
          <w:sz w:val="19"/>
          <w:szCs w:val="19"/>
          <w:b w:val="1"/>
          <w:bCs w:val="1"/>
          <w:color w:val="auto"/>
        </w:rPr>
        <w:t>M&amp;A Transaction</w:t>
      </w:r>
      <w:r>
        <w:rPr>
          <w:rFonts w:ascii="Times New Roman" w:cs="Times New Roman" w:eastAsia="Times New Roman" w:hAnsi="Times New Roman"/>
          <w:sz w:val="19"/>
          <w:szCs w:val="19"/>
          <w:color w:val="auto"/>
        </w:rPr>
        <w:t>, as well as for the repayment of the related-party loans previously invested in the M&amp;A Transaction/</w:t>
      </w:r>
      <w:r>
        <w:rPr>
          <w:rFonts w:ascii="Times New Roman" w:cs="Times New Roman" w:eastAsia="Times New Roman" w:hAnsi="Times New Roman"/>
          <w:sz w:val="19"/>
          <w:szCs w:val="19"/>
          <w:b w:val="1"/>
          <w:bCs w:val="1"/>
          <w:color w:val="auto"/>
        </w:rPr>
        <w:t>Project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437"/>
        <w:spacing w:after="0" w:line="265" w:lineRule="auto"/>
        <w:rPr>
          <w:sz w:val="20"/>
          <w:szCs w:val="20"/>
          <w:color w:val="auto"/>
        </w:rPr>
      </w:pPr>
      <w:r>
        <w:rPr>
          <w:rFonts w:ascii="Times New Roman" w:cs="Times New Roman" w:eastAsia="Times New Roman" w:hAnsi="Times New Roman"/>
          <w:sz w:val="19"/>
          <w:szCs w:val="19"/>
          <w:color w:val="auto"/>
        </w:rPr>
        <w:t>THEREFORE, through friendly and equal consultations and based on their respective true intentions, the Parties hereto hereby enter into this Contract as follows.</w:t>
      </w:r>
    </w:p>
    <w:p>
      <w:pPr>
        <w:spacing w:after="0" w:line="162" w:lineRule="exact"/>
        <w:rPr>
          <w:sz w:val="20"/>
          <w:szCs w:val="20"/>
          <w:color w:val="auto"/>
        </w:rPr>
      </w:pPr>
    </w:p>
    <w:p>
      <w:pPr>
        <w:ind w:right="8420" w:firstLine="8"/>
        <w:spacing w:after="0" w:line="476" w:lineRule="auto"/>
        <w:tabs>
          <w:tab w:leader="none" w:pos="378" w:val="left"/>
        </w:tabs>
        <w:numPr>
          <w:ilvl w:val="0"/>
          <w:numId w:val="1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 and Interpretation 1.1 Definitions</w:t>
      </w:r>
    </w:p>
    <w:p>
      <w:pPr>
        <w:spacing w:after="0" w:line="1" w:lineRule="exact"/>
        <w:rPr>
          <w:rFonts w:ascii="Times New Roman" w:cs="Times New Roman" w:eastAsia="Times New Roman" w:hAnsi="Times New Roman"/>
          <w:sz w:val="19"/>
          <w:szCs w:val="19"/>
          <w:b w:val="1"/>
          <w:bCs w:val="1"/>
          <w:color w:val="auto"/>
        </w:rPr>
      </w:pPr>
    </w:p>
    <w:p>
      <w:pPr>
        <w:ind w:left="44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following terms shall have the following meanings as used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9"/>
                <w:szCs w:val="19"/>
                <w:b w:val="1"/>
                <w:bCs w:val="1"/>
                <w:color w:val="auto"/>
                <w:w w:val="98"/>
              </w:rPr>
              <w:t>Guarantee Contract</w:t>
            </w:r>
          </w:p>
        </w:tc>
        <w:tc>
          <w:tcPr>
            <w:tcW w:w="800" w:type="dxa"/>
            <w:vAlign w:val="bottom"/>
            <w:gridSpan w:val="2"/>
            <w:vMerge w:val="restart"/>
          </w:tcPr>
          <w:p>
            <w:pPr>
              <w:spacing w:after="0"/>
              <w:rPr>
                <w:sz w:val="18"/>
                <w:szCs w:val="18"/>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the [Syndicated Loan] Guarantee Contract entered into by and among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Lead</w:t>
            </w:r>
          </w:p>
        </w:tc>
        <w:tc>
          <w:tcPr>
            <w:tcW w:w="0" w:type="dxa"/>
            <w:vAlign w:val="bottom"/>
          </w:tcPr>
          <w:p>
            <w:pPr>
              <w:spacing w:after="0"/>
              <w:rPr>
                <w:sz w:val="1"/>
                <w:szCs w:val="1"/>
                <w:color w:val="auto"/>
              </w:rPr>
            </w:pPr>
          </w:p>
        </w:tc>
      </w:tr>
      <w:tr>
        <w:trPr>
          <w:trHeight w:val="93"/>
        </w:trPr>
        <w:tc>
          <w:tcPr>
            <w:tcW w:w="660" w:type="dxa"/>
            <w:vAlign w:val="bottom"/>
          </w:tcPr>
          <w:p>
            <w:pPr>
              <w:spacing w:after="0"/>
              <w:rPr>
                <w:sz w:val="7"/>
                <w:szCs w:val="7"/>
                <w:color w:val="auto"/>
              </w:rPr>
            </w:pPr>
          </w:p>
        </w:tc>
        <w:tc>
          <w:tcPr>
            <w:tcW w:w="1640" w:type="dxa"/>
            <w:vAlign w:val="bottom"/>
            <w:tcBorders>
              <w:bottom w:val="single" w:sz="8" w:color="auto"/>
            </w:tcBorders>
            <w:gridSpan w:val="8"/>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120" w:type="dxa"/>
            <w:vAlign w:val="bottom"/>
            <w:gridSpan w:val="26"/>
            <w:vMerge w:val="restart"/>
          </w:tcPr>
          <w:p>
            <w:pPr>
              <w:spacing w:after="0" w:line="196" w:lineRule="exact"/>
              <w:rPr>
                <w:sz w:val="20"/>
                <w:szCs w:val="20"/>
                <w:color w:val="auto"/>
              </w:rPr>
            </w:pPr>
            <w:r>
              <w:rPr>
                <w:rFonts w:ascii="Times New Roman" w:cs="Times New Roman" w:eastAsia="Times New Roman" w:hAnsi="Times New Roman"/>
                <w:sz w:val="19"/>
                <w:szCs w:val="19"/>
                <w:b w:val="1"/>
                <w:bCs w:val="1"/>
                <w:color w:val="auto"/>
              </w:rPr>
              <w:t>Arranger</w:t>
            </w:r>
            <w:r>
              <w:rPr>
                <w:rFonts w:ascii="Times New Roman" w:cs="Times New Roman" w:eastAsia="Times New Roman" w:hAnsi="Times New Roman"/>
                <w:sz w:val="19"/>
                <w:szCs w:val="19"/>
                <w:color w:val="auto"/>
              </w:rPr>
              <w:t>, the Co-Lead Arranger, the</w:t>
            </w:r>
            <w:r>
              <w:rPr>
                <w:rFonts w:ascii="Times New Roman" w:cs="Times New Roman" w:eastAsia="Times New Roman" w:hAnsi="Times New Roman"/>
                <w:sz w:val="19"/>
                <w:szCs w:val="19"/>
                <w:b w:val="1"/>
                <w:bCs w:val="1"/>
                <w:color w:val="auto"/>
              </w:rPr>
              <w:t xml:space="preserve"> Agent </w:t>
            </w:r>
            <w:r>
              <w:rPr>
                <w:rFonts w:ascii="Times New Roman" w:cs="Times New Roman" w:eastAsia="Times New Roman" w:hAnsi="Times New Roman"/>
                <w:sz w:val="19"/>
                <w:szCs w:val="19"/>
                <w:color w:val="auto"/>
              </w:rPr>
              <w:t>and the</w:t>
            </w:r>
            <w:r>
              <w:rPr>
                <w:rFonts w:ascii="Times New Roman" w:cs="Times New Roman" w:eastAsia="Times New Roman" w:hAnsi="Times New Roman"/>
                <w:sz w:val="19"/>
                <w:szCs w:val="19"/>
                <w:b w:val="1"/>
                <w:bCs w:val="1"/>
                <w:color w:val="auto"/>
              </w:rPr>
              <w:t xml:space="preserve"> Lenders </w:t>
            </w:r>
            <w:r>
              <w:rPr>
                <w:rFonts w:ascii="Times New Roman" w:cs="Times New Roman" w:eastAsia="Times New Roman" w:hAnsi="Times New Roman"/>
                <w:sz w:val="19"/>
                <w:szCs w:val="19"/>
                <w:color w:val="auto"/>
              </w:rPr>
              <w:t>on [Redacted]</w:t>
            </w:r>
          </w:p>
        </w:tc>
        <w:tc>
          <w:tcPr>
            <w:tcW w:w="940" w:type="dxa"/>
            <w:vAlign w:val="bottom"/>
            <w:tcBorders>
              <w:top w:val="single" w:sz="8" w:color="auto"/>
              <w:bottom w:val="single" w:sz="8" w:color="auto"/>
            </w:tcBorders>
            <w:gridSpan w:val="3"/>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460" w:type="dxa"/>
            <w:vAlign w:val="bottom"/>
            <w:tcBorders>
              <w:top w:val="single" w:sz="8" w:color="auto"/>
              <w:bottom w:val="single" w:sz="8" w:color="auto"/>
            </w:tcBorders>
            <w:gridSpan w:val="2"/>
            <w:vMerge w:val="restart"/>
          </w:tcPr>
          <w:p>
            <w:pPr>
              <w:spacing w:after="0"/>
              <w:rPr>
                <w:sz w:val="7"/>
                <w:szCs w:val="7"/>
                <w:color w:val="auto"/>
              </w:rPr>
            </w:pPr>
          </w:p>
        </w:tc>
        <w:tc>
          <w:tcPr>
            <w:tcW w:w="24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9"/>
                <w:szCs w:val="19"/>
                <w:b w:val="1"/>
                <w:bCs w:val="1"/>
                <w:color w:val="auto"/>
              </w:rPr>
              <w:t>Guarantors</w:t>
            </w:r>
          </w:p>
        </w:tc>
        <w:tc>
          <w:tcPr>
            <w:tcW w:w="6120" w:type="dxa"/>
            <w:vAlign w:val="bottom"/>
            <w:gridSpan w:val="26"/>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440" w:type="dxa"/>
            <w:vAlign w:val="bottom"/>
            <w:gridSpan w:val="10"/>
            <w:vMerge w:val="continue"/>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2440" w:type="dxa"/>
            <w:vAlign w:val="bottom"/>
            <w:gridSpan w:val="10"/>
            <w:vMerge w:val="continue"/>
          </w:tcPr>
          <w:p>
            <w:pPr>
              <w:spacing w:after="0"/>
              <w:rPr>
                <w:sz w:val="24"/>
                <w:szCs w:val="24"/>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means [Jirong Yunke Information Technology Co., Ltd. and Shanghai Jiayin Technology Co., Ltd.].</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9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9"/>
                <w:szCs w:val="19"/>
                <w:b w:val="1"/>
                <w:bCs w:val="1"/>
                <w:color w:val="auto"/>
                <w:w w:val="99"/>
              </w:rPr>
              <w:t>Fiscal Year</w:t>
            </w:r>
          </w:p>
        </w:tc>
        <w:tc>
          <w:tcPr>
            <w:tcW w:w="1500" w:type="dxa"/>
            <w:vAlign w:val="bottom"/>
            <w:gridSpan w:val="6"/>
          </w:tcPr>
          <w:p>
            <w:pPr>
              <w:spacing w:after="0"/>
              <w:rPr>
                <w:sz w:val="24"/>
                <w:szCs w:val="24"/>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means the period commencing on January 1 (inclusive) of each calendar year and ending on December 31</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(inclusive) of such calendar year.</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9"/>
                <w:szCs w:val="19"/>
                <w:b w:val="1"/>
                <w:bCs w:val="1"/>
                <w:color w:val="auto"/>
              </w:rPr>
              <w:t>Commitment Ratio</w:t>
            </w: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in  respect  of  each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  the  ratio  of  such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9"/>
                <w:szCs w:val="19"/>
                <w:b w:val="1"/>
                <w:bCs w:val="1"/>
                <w:color w:val="auto"/>
              </w:rPr>
              <w:t>Commitment</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gridSpan w:val="9"/>
          </w:tcPr>
          <w:p>
            <w:pPr>
              <w:spacing w:after="0" w:line="196" w:lineRule="exact"/>
              <w:rPr>
                <w:sz w:val="20"/>
                <w:szCs w:val="20"/>
                <w:color w:val="auto"/>
              </w:rPr>
            </w:pPr>
            <w:r>
              <w:rPr>
                <w:rFonts w:ascii="Times New Roman" w:cs="Times New Roman" w:eastAsia="Times New Roman" w:hAnsi="Times New Roman"/>
                <w:sz w:val="19"/>
                <w:szCs w:val="19"/>
                <w:b w:val="1"/>
                <w:bCs w:val="1"/>
                <w:color w:val="auto"/>
              </w:rPr>
              <w:t xml:space="preserve">Commitment </w:t>
            </w:r>
            <w:r>
              <w:rPr>
                <w:rFonts w:ascii="Times New Roman" w:cs="Times New Roman" w:eastAsia="Times New Roman" w:hAnsi="Times New Roman"/>
                <w:sz w:val="19"/>
                <w:szCs w:val="19"/>
                <w:color w:val="auto"/>
              </w:rPr>
              <w:t>then.</w:t>
            </w: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w w:val="98"/>
              </w:rPr>
              <w:t>Commitment</w:t>
            </w:r>
          </w:p>
        </w:tc>
        <w:tc>
          <w:tcPr>
            <w:tcW w:w="1360" w:type="dxa"/>
            <w:vAlign w:val="bottom"/>
            <w:gridSpan w:val="5"/>
          </w:tcPr>
          <w:p>
            <w:pPr>
              <w:spacing w:after="0"/>
              <w:rPr>
                <w:sz w:val="24"/>
                <w:szCs w:val="24"/>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in respect of each </w:t>
            </w:r>
            <w:r>
              <w:rPr>
                <w:rFonts w:ascii="Times New Roman" w:cs="Times New Roman" w:eastAsia="Times New Roman" w:hAnsi="Times New Roman"/>
                <w:sz w:val="19"/>
                <w:szCs w:val="19"/>
                <w:b w:val="1"/>
                <w:bCs w:val="1"/>
                <w:color w:val="auto"/>
              </w:rPr>
              <w:t>Original Lender</w:t>
            </w:r>
            <w:r>
              <w:rPr>
                <w:rFonts w:ascii="Times New Roman" w:cs="Times New Roman" w:eastAsia="Times New Roman" w:hAnsi="Times New Roman"/>
                <w:sz w:val="19"/>
                <w:szCs w:val="19"/>
                <w:color w:val="auto"/>
              </w:rPr>
              <w:t xml:space="preserve">, the balance of: (i) its </w:t>
            </w:r>
            <w:r>
              <w:rPr>
                <w:rFonts w:ascii="Times New Roman" w:cs="Times New Roman" w:eastAsia="Times New Roman" w:hAnsi="Times New Roman"/>
                <w:sz w:val="19"/>
                <w:szCs w:val="19"/>
                <w:b w:val="1"/>
                <w:bCs w:val="1"/>
                <w:color w:val="auto"/>
              </w:rPr>
              <w:t>Original Commitment</w:t>
            </w:r>
            <w:r>
              <w:rPr>
                <w:rFonts w:ascii="Times New Roman" w:cs="Times New Roman" w:eastAsia="Times New Roman" w:hAnsi="Times New Roman"/>
                <w:sz w:val="19"/>
                <w:szCs w:val="19"/>
                <w:color w:val="auto"/>
              </w:rPr>
              <w:t>, minus (ii) its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gridSpan w:val="7"/>
            <w:vMerge w:val="restart"/>
          </w:tcPr>
          <w:p>
            <w:pPr>
              <w:spacing w:after="0" w:line="216" w:lineRule="exact"/>
              <w:rPr>
                <w:sz w:val="20"/>
                <w:szCs w:val="20"/>
                <w:color w:val="auto"/>
              </w:rPr>
            </w:pPr>
            <w:r>
              <w:rPr>
                <w:rFonts w:ascii="Times New Roman" w:cs="Times New Roman" w:eastAsia="Times New Roman" w:hAnsi="Times New Roman"/>
                <w:sz w:val="19"/>
                <w:szCs w:val="19"/>
                <w:color w:val="auto"/>
              </w:rPr>
              <w:t xml:space="preserve">share of all </w:t>
            </w:r>
            <w:r>
              <w:rPr>
                <w:rFonts w:ascii="Times New Roman" w:cs="Times New Roman" w:eastAsia="Times New Roman" w:hAnsi="Times New Roman"/>
                <w:sz w:val="19"/>
                <w:szCs w:val="19"/>
                <w:b w:val="1"/>
                <w:bCs w:val="1"/>
                <w:color w:val="auto"/>
              </w:rPr>
              <w:t>Loan Funds</w:t>
            </w:r>
          </w:p>
        </w:tc>
        <w:tc>
          <w:tcPr>
            <w:tcW w:w="3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0" w:type="dxa"/>
            <w:vAlign w:val="bottom"/>
            <w:gridSpan w:val="7"/>
            <w:vMerge w:val="continue"/>
          </w:tcPr>
          <w:p>
            <w:pPr>
              <w:spacing w:after="0"/>
              <w:rPr>
                <w:sz w:val="17"/>
                <w:szCs w:val="17"/>
                <w:color w:val="auto"/>
              </w:rPr>
            </w:pPr>
          </w:p>
        </w:tc>
        <w:tc>
          <w:tcPr>
            <w:tcW w:w="6140" w:type="dxa"/>
            <w:vAlign w:val="bottom"/>
            <w:gridSpan w:val="27"/>
          </w:tcPr>
          <w:p>
            <w:pPr>
              <w:jc w:val="right"/>
              <w:ind w:right="120"/>
              <w:spacing w:after="0" w:line="196" w:lineRule="exact"/>
              <w:rPr>
                <w:sz w:val="20"/>
                <w:szCs w:val="20"/>
                <w:color w:val="auto"/>
              </w:rPr>
            </w:pPr>
            <w:r>
              <w:rPr>
                <w:rFonts w:ascii="Times New Roman" w:cs="Times New Roman" w:eastAsia="Times New Roman" w:hAnsi="Times New Roman"/>
                <w:sz w:val="19"/>
                <w:szCs w:val="19"/>
                <w:color w:val="auto"/>
              </w:rPr>
              <w:t>that have been drawn, minus (iii) its share of amounts cancelled or transferred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pursuant to the terms of this Contract; or</w:t>
            </w:r>
          </w:p>
        </w:tc>
        <w:tc>
          <w:tcPr>
            <w:tcW w:w="0" w:type="dxa"/>
            <w:vAlign w:val="bottom"/>
          </w:tcPr>
          <w:p>
            <w:pPr>
              <w:spacing w:after="0"/>
              <w:rPr>
                <w:sz w:val="1"/>
                <w:szCs w:val="1"/>
                <w:color w:val="auto"/>
              </w:rPr>
            </w:pPr>
          </w:p>
        </w:tc>
      </w:tr>
      <w:tr>
        <w:trPr>
          <w:trHeight w:val="28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in respect of each </w:t>
            </w:r>
            <w:r>
              <w:rPr>
                <w:rFonts w:ascii="Times New Roman" w:cs="Times New Roman" w:eastAsia="Times New Roman" w:hAnsi="Times New Roman"/>
                <w:sz w:val="19"/>
                <w:szCs w:val="19"/>
                <w:b w:val="1"/>
                <w:bCs w:val="1"/>
                <w:color w:val="auto"/>
              </w:rPr>
              <w:t>Transferee Bank</w:t>
            </w:r>
            <w:r>
              <w:rPr>
                <w:rFonts w:ascii="Times New Roman" w:cs="Times New Roman" w:eastAsia="Times New Roman" w:hAnsi="Times New Roman"/>
                <w:sz w:val="19"/>
                <w:szCs w:val="19"/>
                <w:color w:val="auto"/>
              </w:rPr>
              <w:t xml:space="preserve">, the balance of: (i) its </w:t>
            </w:r>
            <w:r>
              <w:rPr>
                <w:rFonts w:ascii="Times New Roman" w:cs="Times New Roman" w:eastAsia="Times New Roman" w:hAnsi="Times New Roman"/>
                <w:sz w:val="19"/>
                <w:szCs w:val="19"/>
                <w:b w:val="1"/>
                <w:bCs w:val="1"/>
                <w:color w:val="auto"/>
              </w:rPr>
              <w:t>Commitment</w:t>
            </w:r>
            <w:r>
              <w:rPr>
                <w:rFonts w:ascii="Times New Roman" w:cs="Times New Roman" w:eastAsia="Times New Roman" w:hAnsi="Times New Roman"/>
                <w:sz w:val="19"/>
                <w:szCs w:val="19"/>
                <w:color w:val="auto"/>
              </w:rPr>
              <w:t xml:space="preserve"> acquired pursuant to Article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gridSpan w:val="10"/>
          </w:tcPr>
          <w:p>
            <w:pPr>
              <w:spacing w:after="0" w:line="196" w:lineRule="exact"/>
              <w:rPr>
                <w:sz w:val="20"/>
                <w:szCs w:val="20"/>
                <w:color w:val="auto"/>
              </w:rPr>
            </w:pPr>
            <w:r>
              <w:rPr>
                <w:rFonts w:ascii="Times New Roman" w:cs="Times New Roman" w:eastAsia="Times New Roman" w:hAnsi="Times New Roman"/>
                <w:sz w:val="19"/>
                <w:szCs w:val="19"/>
                <w:color w:val="auto"/>
              </w:rPr>
              <w:t>XIX (</w:t>
            </w:r>
            <w:r>
              <w:rPr>
                <w:rFonts w:ascii="Times New Roman" w:cs="Times New Roman" w:eastAsia="Times New Roman" w:hAnsi="Times New Roman"/>
                <w:sz w:val="19"/>
                <w:szCs w:val="19"/>
                <w:i w:val="1"/>
                <w:iCs w:val="1"/>
                <w:color w:val="auto"/>
              </w:rPr>
              <w:t>Transfer</w:t>
            </w:r>
            <w:r>
              <w:rPr>
                <w:rFonts w:ascii="Times New Roman" w:cs="Times New Roman" w:eastAsia="Times New Roman" w:hAnsi="Times New Roman"/>
                <w:sz w:val="19"/>
                <w:szCs w:val="19"/>
                <w:color w:val="auto"/>
              </w:rPr>
              <w:t>) hereof, minus (ii) its</w:t>
            </w:r>
          </w:p>
        </w:tc>
        <w:tc>
          <w:tcPr>
            <w:tcW w:w="100" w:type="dxa"/>
            <w:vAlign w:val="bottom"/>
          </w:tcPr>
          <w:p>
            <w:pPr>
              <w:spacing w:after="0"/>
              <w:rPr>
                <w:sz w:val="17"/>
                <w:szCs w:val="17"/>
                <w:color w:val="auto"/>
              </w:rPr>
            </w:pPr>
          </w:p>
        </w:tc>
        <w:tc>
          <w:tcPr>
            <w:tcW w:w="5200" w:type="dxa"/>
            <w:vAlign w:val="bottom"/>
            <w:gridSpan w:val="23"/>
          </w:tcPr>
          <w:p>
            <w:pPr>
              <w:jc w:val="right"/>
              <w:ind w:right="120"/>
              <w:spacing w:after="0" w:line="196" w:lineRule="exact"/>
              <w:rPr>
                <w:sz w:val="20"/>
                <w:szCs w:val="20"/>
                <w:color w:val="auto"/>
              </w:rPr>
            </w:pPr>
            <w:r>
              <w:rPr>
                <w:rFonts w:ascii="Times New Roman" w:cs="Times New Roman" w:eastAsia="Times New Roman" w:hAnsi="Times New Roman"/>
                <w:sz w:val="19"/>
                <w:szCs w:val="19"/>
                <w:color w:val="auto"/>
              </w:rPr>
              <w:t xml:space="preserve">share of all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drawn thereafter, minus (iii) its share of</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amounts cancelled or transferred pursuant to the terms of this Contract.</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9"/>
                <w:szCs w:val="19"/>
                <w:b w:val="1"/>
                <w:bCs w:val="1"/>
                <w:color w:val="auto"/>
              </w:rPr>
              <w:t>Original Commitment</w:t>
            </w: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the original committed amount of each </w:t>
            </w:r>
            <w:r>
              <w:rPr>
                <w:rFonts w:ascii="Times New Roman" w:cs="Times New Roman" w:eastAsia="Times New Roman" w:hAnsi="Times New Roman"/>
                <w:sz w:val="19"/>
                <w:szCs w:val="19"/>
                <w:b w:val="1"/>
                <w:bCs w:val="1"/>
                <w:color w:val="auto"/>
              </w:rPr>
              <w:t>Original Lender</w:t>
            </w:r>
            <w:r>
              <w:rPr>
                <w:rFonts w:ascii="Times New Roman" w:cs="Times New Roman" w:eastAsia="Times New Roman" w:hAnsi="Times New Roman"/>
                <w:sz w:val="19"/>
                <w:szCs w:val="19"/>
                <w:color w:val="auto"/>
              </w:rPr>
              <w:t>, as specified in Article II (</w:t>
            </w:r>
            <w:r>
              <w:rPr>
                <w:rFonts w:ascii="Times New Roman" w:cs="Times New Roman" w:eastAsia="Times New Roman" w:hAnsi="Times New Roman"/>
                <w:sz w:val="19"/>
                <w:szCs w:val="19"/>
                <w:i w:val="1"/>
                <w:iCs w:val="1"/>
                <w:color w:val="auto"/>
              </w:rPr>
              <w:t>Loan Amount</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gridSpan w:val="14"/>
            <w:vMerge w:val="restart"/>
          </w:tcPr>
          <w:p>
            <w:pPr>
              <w:spacing w:after="0"/>
              <w:rPr>
                <w:sz w:val="20"/>
                <w:szCs w:val="20"/>
                <w:color w:val="auto"/>
              </w:rPr>
            </w:pPr>
            <w:r>
              <w:rPr>
                <w:rFonts w:ascii="Times New Roman" w:cs="Times New Roman" w:eastAsia="Times New Roman" w:hAnsi="Times New Roman"/>
                <w:sz w:val="19"/>
                <w:szCs w:val="19"/>
                <w:color w:val="auto"/>
                <w:w w:val="99"/>
              </w:rPr>
              <w:t>hereof and Schedule 1 (</w:t>
            </w:r>
            <w:r>
              <w:rPr>
                <w:rFonts w:ascii="Times New Roman" w:cs="Times New Roman" w:eastAsia="Times New Roman" w:hAnsi="Times New Roman"/>
                <w:sz w:val="19"/>
                <w:szCs w:val="19"/>
                <w:i w:val="1"/>
                <w:iCs w:val="1"/>
                <w:color w:val="auto"/>
                <w:w w:val="99"/>
              </w:rPr>
              <w:t>Original Commitments</w:t>
            </w:r>
          </w:p>
        </w:tc>
        <w:tc>
          <w:tcPr>
            <w:tcW w:w="920" w:type="dxa"/>
            <w:vAlign w:val="bottom"/>
            <w:gridSpan w:val="3"/>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40" w:type="dxa"/>
            <w:vAlign w:val="bottom"/>
            <w:gridSpan w:val="14"/>
            <w:vMerge w:val="continue"/>
          </w:tcPr>
          <w:p>
            <w:pPr>
              <w:spacing w:after="0"/>
              <w:rPr>
                <w:sz w:val="21"/>
                <w:szCs w:val="21"/>
                <w:color w:val="auto"/>
              </w:rPr>
            </w:pPr>
          </w:p>
        </w:tc>
        <w:tc>
          <w:tcPr>
            <w:tcW w:w="4600" w:type="dxa"/>
            <w:vAlign w:val="bottom"/>
            <w:gridSpan w:val="20"/>
          </w:tcPr>
          <w:p>
            <w:pPr>
              <w:jc w:val="right"/>
              <w:ind w:right="3120"/>
              <w:spacing w:after="0"/>
              <w:rPr>
                <w:sz w:val="20"/>
                <w:szCs w:val="20"/>
                <w:color w:val="auto"/>
              </w:rPr>
            </w:pPr>
            <w:r>
              <w:rPr>
                <w:rFonts w:ascii="Times New Roman" w:cs="Times New Roman" w:eastAsia="Times New Roman" w:hAnsi="Times New Roman"/>
                <w:sz w:val="19"/>
                <w:szCs w:val="19"/>
                <w:i w:val="1"/>
                <w:iCs w:val="1"/>
                <w:color w:val="auto"/>
              </w:rPr>
              <w:t>of Lenders</w:t>
            </w:r>
            <w:r>
              <w:rPr>
                <w:rFonts w:ascii="Times New Roman" w:cs="Times New Roman" w:eastAsia="Times New Roman" w:hAnsi="Times New Roman"/>
                <w:sz w:val="19"/>
                <w:szCs w:val="19"/>
                <w:color w:val="auto"/>
              </w:rPr>
              <w:t>) hereto.</w:t>
            </w:r>
          </w:p>
        </w:tc>
        <w:tc>
          <w:tcPr>
            <w:tcW w:w="0" w:type="dxa"/>
            <w:vAlign w:val="bottom"/>
          </w:tcPr>
          <w:p>
            <w:pPr>
              <w:spacing w:after="0"/>
              <w:rPr>
                <w:sz w:val="1"/>
                <w:szCs w:val="1"/>
                <w:color w:val="auto"/>
              </w:rPr>
            </w:pPr>
          </w:p>
        </w:tc>
      </w:tr>
      <w:tr>
        <w:trPr>
          <w:trHeight w:val="386"/>
        </w:trPr>
        <w:tc>
          <w:tcPr>
            <w:tcW w:w="6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w w:val="97"/>
              </w:rPr>
              <w:t>Pledgor</w:t>
            </w:r>
          </w:p>
        </w:tc>
        <w:tc>
          <w:tcPr>
            <w:tcW w:w="1800" w:type="dxa"/>
            <w:vAlign w:val="bottom"/>
            <w:gridSpan w:val="9"/>
          </w:tcPr>
          <w:p>
            <w:pPr>
              <w:spacing w:after="0"/>
              <w:rPr>
                <w:sz w:val="24"/>
                <w:szCs w:val="24"/>
                <w:color w:val="auto"/>
              </w:rPr>
            </w:pP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means [Jirong Yunke Information Technology Co., Ltd.].</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9"/>
                <w:szCs w:val="19"/>
                <w:b w:val="1"/>
                <w:bCs w:val="1"/>
                <w:color w:val="auto"/>
              </w:rPr>
              <w:t>Lenders</w:t>
            </w: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Original Lender(s)</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b w:val="1"/>
                <w:bCs w:val="1"/>
                <w:color w:val="auto"/>
              </w:rPr>
              <w:t>Transferee Bank(s)</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620" w:type="dxa"/>
            <w:vAlign w:val="bottom"/>
            <w:tcBorders>
              <w:right w:val="single" w:sz="8" w:color="auto"/>
            </w:tcBorders>
            <w:gridSpan w:val="3"/>
          </w:tcPr>
          <w:p>
            <w:pPr>
              <w:spacing w:after="0" w:line="20" w:lineRule="exact"/>
              <w:rPr>
                <w:sz w:val="1"/>
                <w:szCs w:val="1"/>
                <w:color w:val="auto"/>
              </w:rPr>
            </w:pPr>
          </w:p>
        </w:tc>
        <w:tc>
          <w:tcPr>
            <w:tcW w:w="1520" w:type="dxa"/>
            <w:vAlign w:val="bottom"/>
            <w:gridSpan w:val="6"/>
            <w:shd w:val="clear" w:color="auto" w:fill="000000"/>
          </w:tcPr>
          <w:p>
            <w:pPr>
              <w:spacing w:after="0" w:line="20" w:lineRule="exact"/>
              <w:rPr>
                <w:sz w:val="1"/>
                <w:szCs w:val="1"/>
                <w:color w:val="auto"/>
              </w:rPr>
            </w:pPr>
          </w:p>
        </w:tc>
        <w:tc>
          <w:tcPr>
            <w:tcW w:w="36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9"/>
                <w:szCs w:val="19"/>
                <w:b w:val="1"/>
                <w:bCs w:val="1"/>
                <w:color w:val="auto"/>
              </w:rPr>
              <w:t>Loan Interest Rate</w:t>
            </w:r>
          </w:p>
        </w:tc>
        <w:tc>
          <w:tcPr>
            <w:tcW w:w="8140" w:type="dxa"/>
            <w:vAlign w:val="bottom"/>
            <w:gridSpan w:val="34"/>
          </w:tcPr>
          <w:p>
            <w:pPr>
              <w:spacing w:after="0"/>
              <w:rPr>
                <w:sz w:val="20"/>
                <w:szCs w:val="20"/>
                <w:color w:val="auto"/>
              </w:rPr>
            </w:pPr>
            <w:r>
              <w:rPr>
                <w:rFonts w:ascii="Times New Roman" w:cs="Times New Roman" w:eastAsia="Times New Roman" w:hAnsi="Times New Roman"/>
                <w:sz w:val="19"/>
                <w:szCs w:val="19"/>
                <w:color w:val="auto"/>
              </w:rPr>
              <w:t xml:space="preserve">means, in respect of each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the annual interest rate of the loan as agreed in Article 5.1 (</w:t>
            </w:r>
            <w:r>
              <w:rPr>
                <w:rFonts w:ascii="Times New Roman" w:cs="Times New Roman" w:eastAsia="Times New Roman" w:hAnsi="Times New Roman"/>
                <w:sz w:val="19"/>
                <w:szCs w:val="19"/>
                <w:i w:val="1"/>
                <w:iCs w:val="1"/>
                <w:color w:val="auto"/>
              </w:rPr>
              <w:t>Loan</w:t>
            </w: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9"/>
                <w:szCs w:val="19"/>
                <w:i w:val="1"/>
                <w:iCs w:val="1"/>
                <w:color w:val="auto"/>
              </w:rPr>
              <w:t>Interest Rate</w:t>
            </w:r>
            <w:r>
              <w:rPr>
                <w:rFonts w:ascii="Times New Roman" w:cs="Times New Roman" w:eastAsia="Times New Roman" w:hAnsi="Times New Roman"/>
                <w:sz w:val="19"/>
                <w:szCs w:val="19"/>
                <w:color w:val="auto"/>
              </w:rPr>
              <w:t>) hereof.</w:t>
            </w:r>
          </w:p>
        </w:tc>
        <w:tc>
          <w:tcPr>
            <w:tcW w:w="940" w:type="dxa"/>
            <w:vAlign w:val="bottom"/>
            <w:tcBorders>
              <w:top w:val="single" w:sz="8" w:color="auto"/>
            </w:tcBorders>
            <w:gridSpan w:val="4"/>
          </w:tcPr>
          <w:p>
            <w:pPr>
              <w:spacing w:after="0"/>
              <w:rPr>
                <w:sz w:val="20"/>
                <w:szCs w:val="20"/>
                <w:color w:val="auto"/>
              </w:rPr>
            </w:pPr>
          </w:p>
        </w:tc>
        <w:tc>
          <w:tcPr>
            <w:tcW w:w="520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40" w:type="dxa"/>
            <w:vAlign w:val="bottom"/>
            <w:gridSpan w:val="34"/>
          </w:tcPr>
          <w:p>
            <w:pPr>
              <w:ind w:left="7960"/>
              <w:spacing w:after="0"/>
              <w:rPr>
                <w:sz w:val="20"/>
                <w:szCs w:val="20"/>
                <w:color w:val="auto"/>
              </w:rPr>
            </w:pPr>
            <w:r>
              <w:rPr>
                <w:rFonts w:ascii="Times New Roman" w:cs="Times New Roman" w:eastAsia="Times New Roman" w:hAnsi="Times New Roman"/>
                <w:sz w:val="19"/>
                <w:szCs w:val="19"/>
                <w:color w:val="auto"/>
                <w:w w:val="83"/>
              </w:rPr>
              <w:t>10</w:t>
            </w:r>
          </w:p>
        </w:tc>
        <w:tc>
          <w:tcPr>
            <w:tcW w:w="0" w:type="dxa"/>
            <w:vAlign w:val="bottom"/>
          </w:tcPr>
          <w:p>
            <w:pPr>
              <w:spacing w:after="0"/>
              <w:rPr>
                <w:sz w:val="1"/>
                <w:szCs w:val="1"/>
                <w:color w:val="auto"/>
              </w:rPr>
            </w:pPr>
          </w:p>
        </w:tc>
      </w:tr>
      <w:tr>
        <w:trPr>
          <w:trHeight w:val="734"/>
        </w:trPr>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Outstanding Loan Balance</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aggregate amount of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drawn but not yet repaid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9"/>
                <w:szCs w:val="19"/>
                <w:b w:val="1"/>
                <w:bCs w:val="1"/>
                <w:color w:val="auto"/>
                <w:w w:val="98"/>
              </w:rPr>
              <w:t>Loan Funds</w:t>
            </w:r>
          </w:p>
        </w:tc>
        <w:tc>
          <w:tcPr>
            <w:tcW w:w="11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any principal of the loan drawn or to be drawn hereunder.</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9"/>
                <w:szCs w:val="19"/>
                <w:b w:val="1"/>
                <w:bCs w:val="1"/>
                <w:color w:val="auto"/>
                <w:w w:val="97"/>
              </w:rPr>
              <w:t>Loan Account</w:t>
            </w:r>
          </w:p>
        </w:tc>
        <w:tc>
          <w:tcPr>
            <w:tcW w:w="1300" w:type="dxa"/>
            <w:vAlign w:val="bottom"/>
            <w:gridSpan w:val="7"/>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the account specified in Schedule 4 (</w:t>
            </w:r>
            <w:r>
              <w:rPr>
                <w:rFonts w:ascii="Times New Roman" w:cs="Times New Roman" w:eastAsia="Times New Roman" w:hAnsi="Times New Roman"/>
                <w:sz w:val="19"/>
                <w:szCs w:val="19"/>
                <w:i w:val="1"/>
                <w:iCs w:val="1"/>
                <w:color w:val="auto"/>
              </w:rPr>
              <w:t>Accounts of the Parties</w:t>
            </w:r>
            <w:r>
              <w:rPr>
                <w:rFonts w:ascii="Times New Roman" w:cs="Times New Roman" w:eastAsia="Times New Roman" w:hAnsi="Times New Roman"/>
                <w:sz w:val="19"/>
                <w:szCs w:val="19"/>
                <w:color w:val="auto"/>
              </w:rPr>
              <w:t>) hereto.</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2440" w:type="dxa"/>
            <w:vAlign w:val="bottom"/>
            <w:gridSpan w:val="14"/>
            <w:vMerge w:val="restart"/>
          </w:tcPr>
          <w:p>
            <w:pPr>
              <w:spacing w:after="0"/>
              <w:rPr>
                <w:sz w:val="20"/>
                <w:szCs w:val="20"/>
                <w:color w:val="auto"/>
              </w:rPr>
            </w:pPr>
            <w:r>
              <w:rPr>
                <w:rFonts w:ascii="Times New Roman" w:cs="Times New Roman" w:eastAsia="Times New Roman" w:hAnsi="Times New Roman"/>
                <w:sz w:val="19"/>
                <w:szCs w:val="19"/>
                <w:b w:val="1"/>
                <w:bCs w:val="1"/>
                <w:color w:val="auto"/>
              </w:rPr>
              <w:t>Agent</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[Redacted] or any </w:t>
            </w:r>
            <w:r>
              <w:rPr>
                <w:rFonts w:ascii="Times New Roman" w:cs="Times New Roman" w:eastAsia="Times New Roman" w:hAnsi="Times New Roman"/>
                <w:sz w:val="19"/>
                <w:szCs w:val="19"/>
                <w:b w:val="1"/>
                <w:bCs w:val="1"/>
                <w:color w:val="auto"/>
              </w:rPr>
              <w:t>Successor Agent</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2440" w:type="dxa"/>
            <w:vAlign w:val="bottom"/>
            <w:gridSpan w:val="14"/>
            <w:vMerge w:val="continue"/>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16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9"/>
                <w:szCs w:val="19"/>
                <w:b w:val="1"/>
                <w:bCs w:val="1"/>
                <w:color w:val="auto"/>
              </w:rPr>
              <w:t>Agent’s Payment Account</w:t>
            </w:r>
          </w:p>
        </w:tc>
        <w:tc>
          <w:tcPr>
            <w:tcW w:w="280" w:type="dxa"/>
            <w:vAlign w:val="bottom"/>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the account specified in Schedule 4 (</w:t>
            </w:r>
            <w:r>
              <w:rPr>
                <w:rFonts w:ascii="Times New Roman" w:cs="Times New Roman" w:eastAsia="Times New Roman" w:hAnsi="Times New Roman"/>
                <w:sz w:val="19"/>
                <w:szCs w:val="19"/>
                <w:i w:val="1"/>
                <w:iCs w:val="1"/>
                <w:color w:val="auto"/>
              </w:rPr>
              <w:t>Accounts of the Parties</w:t>
            </w:r>
            <w:r>
              <w:rPr>
                <w:rFonts w:ascii="Times New Roman" w:cs="Times New Roman" w:eastAsia="Times New Roman" w:hAnsi="Times New Roman"/>
                <w:sz w:val="19"/>
                <w:szCs w:val="19"/>
                <w:color w:val="auto"/>
              </w:rPr>
              <w:t>) hereto.</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Security Documents</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Guarantee Contract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Mortgage Contract</w:t>
            </w:r>
            <w:r>
              <w:rPr>
                <w:rFonts w:ascii="Times New Roman" w:cs="Times New Roman" w:eastAsia="Times New Roman" w:hAnsi="Times New Roman"/>
                <w:sz w:val="19"/>
                <w:szCs w:val="19"/>
                <w:color w:val="auto"/>
              </w:rPr>
              <w:t xml:space="preserve"> and/or the </w:t>
            </w:r>
            <w:r>
              <w:rPr>
                <w:rFonts w:ascii="Times New Roman" w:cs="Times New Roman" w:eastAsia="Times New Roman" w:hAnsi="Times New Roman"/>
                <w:sz w:val="19"/>
                <w:szCs w:val="19"/>
                <w:b w:val="1"/>
                <w:bCs w:val="1"/>
                <w:color w:val="auto"/>
              </w:rPr>
              <w:t>Pledge Contract</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w w:val="98"/>
              </w:rPr>
              <w:t>Security Provider</w:t>
            </w:r>
          </w:p>
        </w:tc>
        <w:tc>
          <w:tcPr>
            <w:tcW w:w="18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Guarantors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Mortgagor</w:t>
            </w:r>
            <w:r>
              <w:rPr>
                <w:rFonts w:ascii="Times New Roman" w:cs="Times New Roman" w:eastAsia="Times New Roman" w:hAnsi="Times New Roman"/>
                <w:sz w:val="19"/>
                <w:szCs w:val="19"/>
                <w:color w:val="auto"/>
              </w:rPr>
              <w:t xml:space="preserve"> and/or the </w:t>
            </w:r>
            <w:r>
              <w:rPr>
                <w:rFonts w:ascii="Times New Roman" w:cs="Times New Roman" w:eastAsia="Times New Roman" w:hAnsi="Times New Roman"/>
                <w:sz w:val="19"/>
                <w:szCs w:val="19"/>
                <w:b w:val="1"/>
                <w:bCs w:val="1"/>
                <w:color w:val="auto"/>
              </w:rPr>
              <w:t>Pledgor</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rPr>
              <w:t>Security Interest</w:t>
            </w:r>
          </w:p>
        </w:tc>
        <w:tc>
          <w:tcPr>
            <w:tcW w:w="1000" w:type="dxa"/>
            <w:vAlign w:val="bottom"/>
            <w:gridSpan w:val="5"/>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any agreement or arrangement in the nature of mortgage, pledge, lien, deposit, or any agreement or</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40" w:type="dxa"/>
            <w:vAlign w:val="bottom"/>
            <w:gridSpan w:val="29"/>
          </w:tcPr>
          <w:p>
            <w:pPr>
              <w:spacing w:after="0" w:line="206" w:lineRule="exact"/>
              <w:rPr>
                <w:sz w:val="20"/>
                <w:szCs w:val="20"/>
                <w:color w:val="auto"/>
              </w:rPr>
            </w:pPr>
            <w:r>
              <w:rPr>
                <w:rFonts w:ascii="Times New Roman" w:cs="Times New Roman" w:eastAsia="Times New Roman" w:hAnsi="Times New Roman"/>
                <w:sz w:val="19"/>
                <w:szCs w:val="19"/>
                <w:color w:val="auto"/>
              </w:rPr>
              <w:t>arrangement having the effect or purpose of security, whether such agreement or arrangement is created</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40" w:type="dxa"/>
            <w:vAlign w:val="bottom"/>
            <w:gridSpan w:val="29"/>
          </w:tcPr>
          <w:p>
            <w:pPr>
              <w:spacing w:after="0" w:line="206" w:lineRule="exact"/>
              <w:rPr>
                <w:sz w:val="20"/>
                <w:szCs w:val="20"/>
                <w:color w:val="auto"/>
              </w:rPr>
            </w:pPr>
            <w:r>
              <w:rPr>
                <w:rFonts w:ascii="Times New Roman" w:cs="Times New Roman" w:eastAsia="Times New Roman" w:hAnsi="Times New Roman"/>
                <w:sz w:val="19"/>
                <w:szCs w:val="19"/>
                <w:color w:val="auto"/>
              </w:rPr>
              <w:t xml:space="preserve">or construed under the laws of </w:t>
            </w:r>
            <w:r>
              <w:rPr>
                <w:rFonts w:ascii="Times New Roman" w:cs="Times New Roman" w:eastAsia="Times New Roman" w:hAnsi="Times New Roman"/>
                <w:sz w:val="19"/>
                <w:szCs w:val="19"/>
                <w:b w:val="1"/>
                <w:bCs w:val="1"/>
                <w:color w:val="auto"/>
              </w:rPr>
              <w:t>China</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20" w:type="dxa"/>
            <w:vAlign w:val="bottom"/>
            <w:gridSpan w:val="10"/>
          </w:tcPr>
          <w:p>
            <w:pPr>
              <w:spacing w:after="0"/>
              <w:rPr>
                <w:sz w:val="20"/>
                <w:szCs w:val="20"/>
                <w:color w:val="auto"/>
              </w:rPr>
            </w:pPr>
            <w:r>
              <w:rPr>
                <w:rFonts w:ascii="Times New Roman" w:cs="Times New Roman" w:eastAsia="Times New Roman" w:hAnsi="Times New Roman"/>
                <w:sz w:val="19"/>
                <w:szCs w:val="19"/>
                <w:b w:val="1"/>
                <w:bCs w:val="1"/>
                <w:color w:val="auto"/>
              </w:rPr>
              <w:t>Mortgage Contract</w:t>
            </w:r>
          </w:p>
        </w:tc>
        <w:tc>
          <w:tcPr>
            <w:tcW w:w="820" w:type="dxa"/>
            <w:vAlign w:val="bottom"/>
            <w:gridSpan w:val="4"/>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[Syndicated Loan] Mortgage Contract entered into between the </w:t>
            </w:r>
            <w:r>
              <w:rPr>
                <w:rFonts w:ascii="Times New Roman" w:cs="Times New Roman" w:eastAsia="Times New Roman" w:hAnsi="Times New Roman"/>
                <w:sz w:val="19"/>
                <w:szCs w:val="19"/>
                <w:b w:val="1"/>
                <w:bCs w:val="1"/>
                <w:color w:val="auto"/>
              </w:rPr>
              <w:t>Mortgagor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on</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40" w:type="dxa"/>
            <w:vAlign w:val="bottom"/>
            <w:gridSpan w:val="21"/>
          </w:tcPr>
          <w:p>
            <w:pPr>
              <w:spacing w:after="0"/>
              <w:rPr>
                <w:sz w:val="20"/>
                <w:szCs w:val="20"/>
                <w:color w:val="auto"/>
              </w:rPr>
            </w:pPr>
            <w:r>
              <w:rPr>
                <w:rFonts w:ascii="Times New Roman" w:cs="Times New Roman" w:eastAsia="Times New Roman" w:hAnsi="Times New Roman"/>
                <w:sz w:val="19"/>
                <w:szCs w:val="19"/>
                <w:color w:val="auto"/>
              </w:rPr>
              <w:t>[Redacted].</w:t>
            </w:r>
          </w:p>
        </w:tc>
        <w:tc>
          <w:tcPr>
            <w:tcW w:w="900" w:type="dxa"/>
            <w:vAlign w:val="bottom"/>
            <w:tcBorders>
              <w:top w:val="single" w:sz="8" w:color="auto"/>
            </w:tcBorders>
            <w:gridSpan w:val="4"/>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Borders>
              <w:top w:val="single" w:sz="8" w:color="auto"/>
            </w:tcBorders>
            <w:gridSpan w:val="2"/>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Mortgagor</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the [Shanghai Jirong Zhicheng Enterprise Development Co., Ltd.].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440" w:type="dxa"/>
            <w:vAlign w:val="bottom"/>
            <w:gridSpan w:val="9"/>
          </w:tcPr>
          <w:p>
            <w:pPr>
              <w:spacing w:after="0"/>
              <w:rPr>
                <w:sz w:val="20"/>
                <w:szCs w:val="20"/>
                <w:color w:val="auto"/>
              </w:rPr>
            </w:pPr>
            <w:r>
              <w:rPr>
                <w:rFonts w:ascii="Times New Roman" w:cs="Times New Roman" w:eastAsia="Times New Roman" w:hAnsi="Times New Roman"/>
                <w:sz w:val="19"/>
                <w:szCs w:val="19"/>
                <w:b w:val="1"/>
                <w:bCs w:val="1"/>
                <w:color w:val="auto"/>
                <w:w w:val="98"/>
              </w:rPr>
              <w:t>Majority Lenders</w:t>
            </w:r>
          </w:p>
        </w:tc>
        <w:tc>
          <w:tcPr>
            <w:tcW w:w="1000" w:type="dxa"/>
            <w:vAlign w:val="bottom"/>
            <w:gridSpan w:val="5"/>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holding an aggregate share of fifty-five percent (55%) or more of the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spacing w:after="0" w:line="196" w:lineRule="exact"/>
              <w:rPr>
                <w:sz w:val="20"/>
                <w:szCs w:val="20"/>
                <w:color w:val="auto"/>
              </w:rPr>
            </w:pPr>
            <w:r>
              <w:rPr>
                <w:rFonts w:ascii="Times New Roman" w:cs="Times New Roman" w:eastAsia="Times New Roman" w:hAnsi="Times New Roman"/>
                <w:sz w:val="19"/>
                <w:szCs w:val="19"/>
                <w:b w:val="1"/>
                <w:bCs w:val="1"/>
                <w:color w:val="auto"/>
              </w:rPr>
              <w:t>Total Facility</w:t>
            </w:r>
            <w:r>
              <w:rPr>
                <w:rFonts w:ascii="Times New Roman" w:cs="Times New Roman" w:eastAsia="Times New Roman" w:hAnsi="Times New Roman"/>
                <w:sz w:val="19"/>
                <w:szCs w:val="19"/>
                <w:color w:val="auto"/>
              </w:rPr>
              <w:t>.</w:t>
            </w:r>
          </w:p>
        </w:tc>
        <w:tc>
          <w:tcPr>
            <w:tcW w:w="30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800" w:type="dxa"/>
            <w:vAlign w:val="bottom"/>
            <w:gridSpan w:val="3"/>
          </w:tcPr>
          <w:p>
            <w:pPr>
              <w:spacing w:after="0"/>
              <w:rPr>
                <w:sz w:val="17"/>
                <w:szCs w:val="17"/>
                <w:color w:val="auto"/>
              </w:rPr>
            </w:pPr>
          </w:p>
        </w:tc>
        <w:tc>
          <w:tcPr>
            <w:tcW w:w="980" w:type="dxa"/>
            <w:vAlign w:val="bottom"/>
            <w:gridSpan w:val="4"/>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Default Interest Rate</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Overdue Default Interest Rate</w:t>
            </w:r>
            <w:r>
              <w:rPr>
                <w:rFonts w:ascii="Times New Roman" w:cs="Times New Roman" w:eastAsia="Times New Roman" w:hAnsi="Times New Roman"/>
                <w:sz w:val="19"/>
                <w:szCs w:val="19"/>
                <w:color w:val="auto"/>
              </w:rPr>
              <w:t xml:space="preserve"> and/or the </w:t>
            </w:r>
            <w:r>
              <w:rPr>
                <w:rFonts w:ascii="Times New Roman" w:cs="Times New Roman" w:eastAsia="Times New Roman" w:hAnsi="Times New Roman"/>
                <w:sz w:val="19"/>
                <w:szCs w:val="19"/>
                <w:b w:val="1"/>
                <w:bCs w:val="1"/>
                <w:color w:val="auto"/>
              </w:rPr>
              <w:t>Misappropriation Default Interest Rate</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Fee Letter</w:t>
            </w:r>
          </w:p>
        </w:tc>
        <w:tc>
          <w:tcPr>
            <w:tcW w:w="820" w:type="dxa"/>
            <w:vAlign w:val="bottom"/>
            <w:gridSpan w:val="7"/>
          </w:tcPr>
          <w:p>
            <w:pPr>
              <w:spacing w:after="0"/>
              <w:rPr>
                <w:sz w:val="24"/>
                <w:szCs w:val="24"/>
                <w:color w:val="auto"/>
              </w:rPr>
            </w:pPr>
          </w:p>
        </w:tc>
        <w:tc>
          <w:tcPr>
            <w:tcW w:w="740" w:type="dxa"/>
            <w:vAlign w:val="bottom"/>
            <w:gridSpan w:val="3"/>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any fee letter relating to the transactions hereunder signed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and the relevant party</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20" w:type="dxa"/>
            <w:vAlign w:val="bottom"/>
            <w:gridSpan w:val="20"/>
          </w:tcPr>
          <w:p>
            <w:pPr>
              <w:spacing w:after="0"/>
              <w:rPr>
                <w:sz w:val="20"/>
                <w:szCs w:val="20"/>
                <w:color w:val="auto"/>
              </w:rPr>
            </w:pPr>
            <w:r>
              <w:rPr>
                <w:rFonts w:ascii="Times New Roman" w:cs="Times New Roman" w:eastAsia="Times New Roman" w:hAnsi="Times New Roman"/>
                <w:sz w:val="19"/>
                <w:szCs w:val="19"/>
                <w:color w:val="auto"/>
              </w:rPr>
              <w:t>thereto.</w:t>
            </w:r>
          </w:p>
        </w:tc>
        <w:tc>
          <w:tcPr>
            <w:tcW w:w="800" w:type="dxa"/>
            <w:vAlign w:val="bottom"/>
            <w:tcBorders>
              <w:top w:val="single" w:sz="8" w:color="auto"/>
            </w:tcBorders>
            <w:gridSpan w:val="3"/>
          </w:tcPr>
          <w:p>
            <w:pPr>
              <w:spacing w:after="0"/>
              <w:rPr>
                <w:sz w:val="20"/>
                <w:szCs w:val="20"/>
                <w:color w:val="auto"/>
              </w:rPr>
            </w:pPr>
          </w:p>
        </w:tc>
        <w:tc>
          <w:tcPr>
            <w:tcW w:w="18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Interest Payment Date</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the following date (Tick one box below with “√” as applicable, and cross the other(s) with “×”):</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 The day following the end of each </w:t>
            </w:r>
            <w:r>
              <w:rPr>
                <w:rFonts w:ascii="Times New Roman" w:cs="Times New Roman" w:eastAsia="Times New Roman" w:hAnsi="Times New Roman"/>
                <w:sz w:val="19"/>
                <w:szCs w:val="19"/>
                <w:b w:val="1"/>
                <w:bCs w:val="1"/>
                <w:color w:val="auto"/>
              </w:rPr>
              <w:t>Interest Period</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 The date on which each </w:t>
            </w:r>
            <w:r>
              <w:rPr>
                <w:rFonts w:ascii="Times New Roman" w:cs="Times New Roman" w:eastAsia="Times New Roman" w:hAnsi="Times New Roman"/>
                <w:sz w:val="19"/>
                <w:szCs w:val="19"/>
                <w:b w:val="1"/>
                <w:bCs w:val="1"/>
                <w:color w:val="auto"/>
              </w:rPr>
              <w:t>Interest Period</w:t>
            </w:r>
            <w:r>
              <w:rPr>
                <w:rFonts w:ascii="Times New Roman" w:cs="Times New Roman" w:eastAsia="Times New Roman" w:hAnsi="Times New Roman"/>
                <w:sz w:val="19"/>
                <w:szCs w:val="19"/>
                <w:color w:val="auto"/>
              </w:rPr>
              <w:t xml:space="preserve"> ends.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 xml:space="preserve">means all payment or repayment obligations of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to any third party, regardless of their nature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gridSpan w:val="14"/>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or form, whether primary or secondary, actual or contingent, due or to become due.</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SAMR</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the State Administration for Market Regulation, local administrations for market regulation and/or</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their branches.</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2440" w:type="dxa"/>
            <w:vAlign w:val="bottom"/>
            <w:gridSpan w:val="14"/>
          </w:tcPr>
          <w:p>
            <w:pPr>
              <w:spacing w:after="0"/>
              <w:rPr>
                <w:sz w:val="20"/>
                <w:szCs w:val="20"/>
                <w:color w:val="auto"/>
              </w:rPr>
            </w:pPr>
            <w:r>
              <w:rPr>
                <w:rFonts w:ascii="Times New Roman" w:cs="Times New Roman" w:eastAsia="Times New Roman" w:hAnsi="Times New Roman"/>
                <w:sz w:val="19"/>
                <w:szCs w:val="19"/>
                <w:b w:val="1"/>
                <w:bCs w:val="1"/>
                <w:color w:val="auto"/>
              </w:rPr>
              <w:t>Repayment Date</w:t>
            </w: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each date for repayment of the loan set out in Article VI (</w:t>
            </w:r>
            <w:r>
              <w:rPr>
                <w:rFonts w:ascii="Times New Roman" w:cs="Times New Roman" w:eastAsia="Times New Roman" w:hAnsi="Times New Roman"/>
                <w:sz w:val="19"/>
                <w:szCs w:val="19"/>
                <w:i w:val="1"/>
                <w:iCs w:val="1"/>
                <w:color w:val="auto"/>
              </w:rPr>
              <w:t>Repayment</w:t>
            </w:r>
            <w:r>
              <w:rPr>
                <w:rFonts w:ascii="Times New Roman" w:cs="Times New Roman" w:eastAsia="Times New Roman" w:hAnsi="Times New Roman"/>
                <w:sz w:val="19"/>
                <w:szCs w:val="19"/>
                <w:color w:val="auto"/>
              </w:rPr>
              <w:t>) hereof.</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3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9"/>
                <w:szCs w:val="19"/>
                <w:b w:val="1"/>
                <w:bCs w:val="1"/>
                <w:color w:val="auto"/>
              </w:rPr>
              <w:t>LPR</w:t>
            </w:r>
          </w:p>
        </w:tc>
        <w:tc>
          <w:tcPr>
            <w:tcW w:w="1100" w:type="dxa"/>
            <w:vAlign w:val="bottom"/>
            <w:gridSpan w:val="6"/>
          </w:tcPr>
          <w:p>
            <w:pPr>
              <w:spacing w:after="0"/>
              <w:rPr>
                <w:sz w:val="24"/>
                <w:szCs w:val="24"/>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means Loan Prime Rate, being the rate calculated and published by the National Interbank Funding</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40" w:type="dxa"/>
            <w:vAlign w:val="bottom"/>
            <w:gridSpan w:val="29"/>
          </w:tcPr>
          <w:p>
            <w:pPr>
              <w:spacing w:after="0"/>
              <w:rPr>
                <w:sz w:val="20"/>
                <w:szCs w:val="20"/>
                <w:color w:val="auto"/>
              </w:rPr>
            </w:pPr>
            <w:r>
              <w:rPr>
                <w:rFonts w:ascii="Times New Roman" w:cs="Times New Roman" w:eastAsia="Times New Roman" w:hAnsi="Times New Roman"/>
                <w:sz w:val="19"/>
                <w:szCs w:val="19"/>
                <w:color w:val="auto"/>
              </w:rPr>
              <w:t>Center under the authorization of the</w:t>
            </w:r>
          </w:p>
        </w:tc>
        <w:tc>
          <w:tcPr>
            <w:tcW w:w="0" w:type="dxa"/>
            <w:vAlign w:val="bottom"/>
          </w:tcPr>
          <w:p>
            <w:pPr>
              <w:spacing w:after="0"/>
              <w:rPr>
                <w:sz w:val="1"/>
                <w:szCs w:val="1"/>
                <w:color w:val="auto"/>
              </w:rPr>
            </w:pPr>
          </w:p>
        </w:tc>
      </w:tr>
      <w:tr>
        <w:trPr>
          <w:trHeight w:val="675"/>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gridSpan w:val="29"/>
          </w:tcPr>
          <w:p>
            <w:pPr>
              <w:ind w:left="7960"/>
              <w:spacing w:after="0"/>
              <w:rPr>
                <w:sz w:val="20"/>
                <w:szCs w:val="20"/>
                <w:color w:val="auto"/>
              </w:rPr>
            </w:pPr>
            <w:r>
              <w:rPr>
                <w:rFonts w:ascii="Times New Roman" w:cs="Times New Roman" w:eastAsia="Times New Roman" w:hAnsi="Times New Roman"/>
                <w:sz w:val="19"/>
                <w:szCs w:val="19"/>
                <w:color w:val="auto"/>
                <w:w w:val="83"/>
              </w:rPr>
              <w:t>11</w:t>
            </w:r>
          </w:p>
        </w:tc>
        <w:tc>
          <w:tcPr>
            <w:tcW w:w="0" w:type="dxa"/>
            <w:vAlign w:val="bottom"/>
          </w:tcPr>
          <w:p>
            <w:pPr>
              <w:spacing w:after="0"/>
              <w:rPr>
                <w:sz w:val="1"/>
                <w:szCs w:val="1"/>
                <w:color w:val="auto"/>
              </w:rPr>
            </w:pPr>
          </w:p>
        </w:tc>
      </w:tr>
      <w:tr>
        <w:trPr>
          <w:trHeight w:val="734"/>
        </w:trPr>
        <w:tc>
          <w:tcPr>
            <w:tcW w:w="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jc w:val="both"/>
        <w:ind w:left="3100" w:right="120"/>
        <w:spacing w:after="0" w:line="251" w:lineRule="auto"/>
        <w:rPr>
          <w:sz w:val="20"/>
          <w:szCs w:val="20"/>
          <w:color w:val="auto"/>
        </w:rPr>
      </w:pPr>
      <w:r>
        <w:rPr>
          <w:rFonts w:ascii="Times New Roman" w:cs="Times New Roman" w:eastAsia="Times New Roman" w:hAnsi="Times New Roman"/>
          <w:sz w:val="19"/>
          <w:szCs w:val="19"/>
          <w:color w:val="auto"/>
        </w:rPr>
        <w:t>People’s Bank of China, based on quotations from representative quoting banks in the form of a spread over the open market operation rate (mainly the Medium-term Lending Facility rate) for their loans to their prime customers.</w:t>
      </w:r>
    </w:p>
    <w:p>
      <w:pPr>
        <w:spacing w:after="0" w:line="175" w:lineRule="exact"/>
        <w:rPr>
          <w:sz w:val="20"/>
          <w:szCs w:val="20"/>
          <w:color w:val="auto"/>
        </w:rPr>
      </w:pPr>
    </w:p>
    <w:p>
      <w:pPr>
        <w:ind w:left="660"/>
        <w:spacing w:after="0"/>
        <w:tabs>
          <w:tab w:leader="none" w:pos="3080" w:val="left"/>
        </w:tabs>
        <w:rPr>
          <w:sz w:val="20"/>
          <w:szCs w:val="20"/>
          <w:color w:val="auto"/>
        </w:rPr>
      </w:pPr>
      <w:r>
        <w:rPr>
          <w:rFonts w:ascii="Times New Roman" w:cs="Times New Roman" w:eastAsia="Times New Roman" w:hAnsi="Times New Roman"/>
          <w:sz w:val="19"/>
          <w:szCs w:val="19"/>
          <w:b w:val="1"/>
          <w:bCs w:val="1"/>
          <w:u w:val="single" w:color="auto"/>
          <w:color w:val="auto"/>
        </w:rPr>
        <w:t>Interest Settlement Date</w:t>
      </w:r>
      <w:r>
        <w:rPr>
          <w:sz w:val="20"/>
          <w:szCs w:val="20"/>
          <w:color w:val="auto"/>
        </w:rPr>
        <w:tab/>
      </w:r>
      <w:r>
        <w:rPr>
          <w:rFonts w:ascii="Times New Roman" w:cs="Times New Roman" w:eastAsia="Times New Roman" w:hAnsi="Times New Roman"/>
          <w:sz w:val="19"/>
          <w:szCs w:val="19"/>
          <w:color w:val="auto"/>
        </w:rPr>
        <w:t>means the following date (Tick one box below with “√” as applicable, and cross the other(s) with “×”):</w:t>
      </w:r>
    </w:p>
    <w:p>
      <w:pPr>
        <w:spacing w:after="0" w:line="11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 If interest is settled monthly, the 20th day of each month;</w:t>
      </w:r>
    </w:p>
    <w:p>
      <w:pPr>
        <w:spacing w:after="0" w:line="1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 If interest is settled quarterly, the 20th day of the last month of each quarter;</w:t>
      </w:r>
    </w:p>
    <w:p>
      <w:pPr>
        <w:spacing w:after="0" w:line="106" w:lineRule="exact"/>
        <w:rPr>
          <w:sz w:val="20"/>
          <w:szCs w:val="20"/>
          <w:color w:val="auto"/>
        </w:rPr>
      </w:pPr>
    </w:p>
    <w:p>
      <w:pPr>
        <w:ind w:left="3100" w:right="120" w:firstLine="4"/>
        <w:spacing w:after="0" w:line="265" w:lineRule="auto"/>
        <w:tabs>
          <w:tab w:leader="none" w:pos="3413"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interest is collected in a lump sum upon maturity of the loan with interest paid together with principal, the maturity date of the loan;</w:t>
      </w:r>
    </w:p>
    <w:p>
      <w:pPr>
        <w:spacing w:after="0" w:line="57" w:lineRule="exact"/>
        <w:rPr>
          <w:rFonts w:ascii="Times New Roman" w:cs="Times New Roman" w:eastAsia="Times New Roman" w:hAnsi="Times New Roman"/>
          <w:sz w:val="19"/>
          <w:szCs w:val="19"/>
          <w:color w:val="auto"/>
        </w:rPr>
      </w:pPr>
    </w:p>
    <w:p>
      <w:pPr>
        <w:ind w:left="3380" w:hanging="276"/>
        <w:spacing w:after="0"/>
        <w:tabs>
          <w:tab w:leader="none" w:pos="33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date: specifically [×].</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Borrower’s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auto"/>
              </w:rPr>
              <w:t>Counterparty</w:t>
            </w:r>
          </w:p>
        </w:tc>
        <w:tc>
          <w:tcPr>
            <w:tcW w:w="200" w:type="dxa"/>
            <w:vAlign w:val="bottom"/>
          </w:tcPr>
          <w:p>
            <w:pPr>
              <w:spacing w:after="0"/>
              <w:rPr>
                <w:sz w:val="18"/>
                <w:szCs w:val="18"/>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 xml:space="preserve">means the account notified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specifically the relevant account set out in</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9"/>
                <w:szCs w:val="19"/>
                <w:b w:val="1"/>
                <w:bCs w:val="1"/>
                <w:color w:val="auto"/>
                <w:w w:val="97"/>
              </w:rPr>
              <w:t>Account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gridSpan w:val="7"/>
          </w:tcPr>
          <w:p>
            <w:pPr>
              <w:spacing w:after="0" w:line="196" w:lineRule="exact"/>
              <w:rPr>
                <w:sz w:val="20"/>
                <w:szCs w:val="20"/>
                <w:color w:val="auto"/>
              </w:rPr>
            </w:pPr>
            <w:r>
              <w:rPr>
                <w:rFonts w:ascii="Times New Roman" w:cs="Times New Roman" w:eastAsia="Times New Roman" w:hAnsi="Times New Roman"/>
                <w:sz w:val="19"/>
                <w:szCs w:val="19"/>
                <w:color w:val="auto"/>
                <w:w w:val="96"/>
              </w:rPr>
              <w:t>Schedule 6 (</w:t>
            </w:r>
            <w:r>
              <w:rPr>
                <w:rFonts w:ascii="Times New Roman" w:cs="Times New Roman" w:eastAsia="Times New Roman" w:hAnsi="Times New Roman"/>
                <w:sz w:val="19"/>
                <w:szCs w:val="19"/>
                <w:i w:val="1"/>
                <w:iCs w:val="1"/>
                <w:color w:val="auto"/>
                <w:w w:val="96"/>
              </w:rPr>
              <w:t>Form of Drawdown Notice</w:t>
            </w:r>
            <w:r>
              <w:rPr>
                <w:rFonts w:ascii="Times New Roman" w:cs="Times New Roman" w:eastAsia="Times New Roman" w:hAnsi="Times New Roman"/>
                <w:sz w:val="19"/>
                <w:szCs w:val="19"/>
                <w:color w:val="auto"/>
                <w:w w:val="96"/>
              </w:rPr>
              <w:t>) hereto.</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w w:val="98"/>
              </w:rPr>
              <w:t>Handling Bank</w:t>
            </w:r>
          </w:p>
        </w:tc>
        <w:tc>
          <w:tcPr>
            <w:tcW w:w="10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 xml:space="preserve">means the Handling Bank of any </w:t>
            </w:r>
            <w:r>
              <w:rPr>
                <w:rFonts w:ascii="Times New Roman" w:cs="Times New Roman" w:eastAsia="Times New Roman" w:hAnsi="Times New Roman"/>
                <w:sz w:val="19"/>
                <w:szCs w:val="19"/>
                <w:b w:val="1"/>
                <w:bCs w:val="1"/>
                <w:color w:val="auto"/>
              </w:rPr>
              <w:t>Syndicate Member</w:t>
            </w:r>
            <w:r>
              <w:rPr>
                <w:rFonts w:ascii="Times New Roman" w:cs="Times New Roman" w:eastAsia="Times New Roman" w:hAnsi="Times New Roman"/>
                <w:sz w:val="19"/>
                <w:szCs w:val="19"/>
                <w:color w:val="auto"/>
              </w:rPr>
              <w:t xml:space="preserve"> as listed herein for performing this Contract,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700" w:type="dxa"/>
            <w:vAlign w:val="bottom"/>
            <w:gridSpan w:val="3"/>
            <w:vMerge w:val="restart"/>
          </w:tcPr>
          <w:p>
            <w:pPr>
              <w:ind w:left="160"/>
              <w:spacing w:after="0" w:line="216" w:lineRule="exact"/>
              <w:rPr>
                <w:sz w:val="20"/>
                <w:szCs w:val="20"/>
                <w:color w:val="auto"/>
              </w:rPr>
            </w:pPr>
            <w:r>
              <w:rPr>
                <w:rFonts w:ascii="Times New Roman" w:cs="Times New Roman" w:eastAsia="Times New Roman" w:hAnsi="Times New Roman"/>
                <w:sz w:val="19"/>
                <w:szCs w:val="19"/>
                <w:color w:val="auto"/>
              </w:rPr>
              <w:t>19.9 (</w:t>
            </w:r>
            <w:r>
              <w:rPr>
                <w:rFonts w:ascii="Times New Roman" w:cs="Times New Roman" w:eastAsia="Times New Roman" w:hAnsi="Times New Roman"/>
                <w:sz w:val="19"/>
                <w:szCs w:val="19"/>
                <w:i w:val="1"/>
                <w:iCs w:val="1"/>
                <w:color w:val="auto"/>
              </w:rPr>
              <w:t>Change of Handling Bank</w:t>
            </w:r>
            <w:r>
              <w:rPr>
                <w:rFonts w:ascii="Times New Roman" w:cs="Times New Roman" w:eastAsia="Times New Roman" w:hAnsi="Times New Roman"/>
                <w:sz w:val="19"/>
                <w:szCs w:val="19"/>
                <w:color w:val="auto"/>
              </w:rPr>
              <w:t>) hereof.</w:t>
            </w: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gridSpan w:val="10"/>
          </w:tcPr>
          <w:p>
            <w:pPr>
              <w:spacing w:after="0" w:line="196" w:lineRule="exact"/>
              <w:rPr>
                <w:sz w:val="20"/>
                <w:szCs w:val="20"/>
                <w:color w:val="auto"/>
              </w:rPr>
            </w:pPr>
            <w:r>
              <w:rPr>
                <w:rFonts w:ascii="Times New Roman" w:cs="Times New Roman" w:eastAsia="Times New Roman" w:hAnsi="Times New Roman"/>
                <w:sz w:val="19"/>
                <w:szCs w:val="19"/>
                <w:color w:val="auto"/>
                <w:w w:val="96"/>
              </w:rPr>
              <w:t xml:space="preserve">including any </w:t>
            </w:r>
            <w:r>
              <w:rPr>
                <w:rFonts w:ascii="Times New Roman" w:cs="Times New Roman" w:eastAsia="Times New Roman" w:hAnsi="Times New Roman"/>
                <w:sz w:val="19"/>
                <w:szCs w:val="19"/>
                <w:b w:val="1"/>
                <w:bCs w:val="1"/>
                <w:color w:val="auto"/>
                <w:w w:val="96"/>
              </w:rPr>
              <w:t>Handling Bank</w:t>
            </w:r>
            <w:r>
              <w:rPr>
                <w:rFonts w:ascii="Times New Roman" w:cs="Times New Roman" w:eastAsia="Times New Roman" w:hAnsi="Times New Roman"/>
                <w:sz w:val="19"/>
                <w:szCs w:val="19"/>
                <w:color w:val="auto"/>
                <w:w w:val="96"/>
              </w:rPr>
              <w:t xml:space="preserve"> changed pursuant to Article</w:t>
            </w:r>
          </w:p>
        </w:tc>
        <w:tc>
          <w:tcPr>
            <w:tcW w:w="3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b w:val="1"/>
                <w:bCs w:val="1"/>
                <w:color w:val="auto"/>
              </w:rPr>
              <w:t>Accounting Standards</w:t>
            </w: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means the accounting standards consistent with the laws and regulations of China and generally accepted</w:t>
            </w:r>
          </w:p>
        </w:tc>
        <w:tc>
          <w:tcPr>
            <w:tcW w:w="0" w:type="dxa"/>
            <w:vAlign w:val="bottom"/>
          </w:tcPr>
          <w:p>
            <w:pPr>
              <w:spacing w:after="0"/>
              <w:rPr>
                <w:sz w:val="1"/>
                <w:szCs w:val="1"/>
                <w:color w:val="auto"/>
              </w:rPr>
            </w:pPr>
          </w:p>
        </w:tc>
      </w:tr>
      <w:tr>
        <w:trPr>
          <w:trHeight w:val="238"/>
        </w:trPr>
        <w:tc>
          <w:tcPr>
            <w:tcW w:w="6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in China.</w:t>
            </w:r>
          </w:p>
        </w:tc>
        <w:tc>
          <w:tcPr>
            <w:tcW w:w="0" w:type="dxa"/>
            <w:vAlign w:val="bottom"/>
          </w:tcPr>
          <w:p>
            <w:pPr>
              <w:spacing w:after="0"/>
              <w:rPr>
                <w:sz w:val="1"/>
                <w:szCs w:val="1"/>
                <w:color w:val="auto"/>
              </w:rPr>
            </w:pPr>
          </w:p>
        </w:tc>
      </w:tr>
      <w:tr>
        <w:trPr>
          <w:trHeight w:val="390"/>
        </w:trPr>
        <w:tc>
          <w:tcPr>
            <w:tcW w:w="1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Interest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Rate</w:t>
            </w:r>
          </w:p>
        </w:tc>
        <w:tc>
          <w:tcPr>
            <w:tcW w:w="200" w:type="dxa"/>
            <w:vAlign w:val="bottom"/>
          </w:tcPr>
          <w:p>
            <w:pPr>
              <w:spacing w:after="0"/>
              <w:rPr>
                <w:sz w:val="24"/>
                <w:szCs w:val="24"/>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 xml:space="preserve">means, in respect of each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(i) its </w:t>
            </w:r>
            <w:r>
              <w:rPr>
                <w:rFonts w:ascii="Times New Roman" w:cs="Times New Roman" w:eastAsia="Times New Roman" w:hAnsi="Times New Roman"/>
                <w:sz w:val="19"/>
                <w:szCs w:val="19"/>
                <w:b w:val="1"/>
                <w:bCs w:val="1"/>
                <w:color w:val="auto"/>
              </w:rPr>
              <w:t>Drawdown Date</w:t>
            </w:r>
            <w:r>
              <w:rPr>
                <w:rFonts w:ascii="Times New Roman" w:cs="Times New Roman" w:eastAsia="Times New Roman" w:hAnsi="Times New Roman"/>
                <w:sz w:val="19"/>
                <w:szCs w:val="19"/>
                <w:color w:val="auto"/>
              </w:rPr>
              <w:t>, and (ii) commencing from such</w:t>
            </w:r>
          </w:p>
        </w:tc>
        <w:tc>
          <w:tcPr>
            <w:tcW w:w="0" w:type="dxa"/>
            <w:vAlign w:val="bottom"/>
          </w:tcPr>
          <w:p>
            <w:pPr>
              <w:spacing w:after="0"/>
              <w:rPr>
                <w:sz w:val="1"/>
                <w:szCs w:val="1"/>
                <w:color w:val="auto"/>
              </w:rPr>
            </w:pPr>
          </w:p>
        </w:tc>
      </w:tr>
      <w:tr>
        <w:trPr>
          <w:trHeight w:val="20"/>
        </w:trPr>
        <w:tc>
          <w:tcPr>
            <w:tcW w:w="1600" w:type="dxa"/>
            <w:vAlign w:val="bottom"/>
            <w:gridSpan w:val="4"/>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20" w:type="dxa"/>
            <w:vAlign w:val="bottom"/>
            <w:gridSpan w:val="3"/>
            <w:vMerge w:val="restart"/>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 xml:space="preserve">Drawdown Date </w:t>
            </w:r>
            <w:r>
              <w:rPr>
                <w:rFonts w:ascii="Times New Roman" w:cs="Times New Roman" w:eastAsia="Times New Roman" w:hAnsi="Times New Roman"/>
                <w:sz w:val="19"/>
                <w:szCs w:val="19"/>
                <w:color w:val="auto"/>
              </w:rPr>
              <w:t>(Tick one</w:t>
            </w:r>
          </w:p>
        </w:tc>
        <w:tc>
          <w:tcPr>
            <w:tcW w:w="960" w:type="dxa"/>
            <w:vAlign w:val="bottom"/>
            <w:gridSpan w:val="3"/>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gridSpan w:val="6"/>
          </w:tcPr>
          <w:p>
            <w:pPr>
              <w:spacing w:after="0" w:line="196" w:lineRule="exact"/>
              <w:rPr>
                <w:sz w:val="20"/>
                <w:szCs w:val="20"/>
                <w:color w:val="auto"/>
              </w:rPr>
            </w:pPr>
            <w:r>
              <w:rPr>
                <w:rFonts w:ascii="Times New Roman" w:cs="Times New Roman" w:eastAsia="Times New Roman" w:hAnsi="Times New Roman"/>
                <w:sz w:val="19"/>
                <w:szCs w:val="19"/>
                <w:b w:val="1"/>
                <w:bCs w:val="1"/>
                <w:color w:val="auto"/>
              </w:rPr>
              <w:t>Determination Date</w:t>
            </w:r>
          </w:p>
        </w:tc>
        <w:tc>
          <w:tcPr>
            <w:tcW w:w="200" w:type="dxa"/>
            <w:vAlign w:val="bottom"/>
            <w:vMerge w:val="continue"/>
          </w:tcPr>
          <w:p>
            <w:pPr>
              <w:spacing w:after="0"/>
              <w:rPr>
                <w:sz w:val="17"/>
                <w:szCs w:val="17"/>
                <w:color w:val="auto"/>
              </w:rPr>
            </w:pPr>
          </w:p>
        </w:tc>
        <w:tc>
          <w:tcPr>
            <w:tcW w:w="2220" w:type="dxa"/>
            <w:vAlign w:val="bottom"/>
            <w:gridSpan w:val="3"/>
            <w:vMerge w:val="continue"/>
          </w:tcPr>
          <w:p>
            <w:pPr>
              <w:spacing w:after="0"/>
              <w:rPr>
                <w:sz w:val="17"/>
                <w:szCs w:val="17"/>
                <w:color w:val="auto"/>
              </w:rPr>
            </w:pPr>
          </w:p>
        </w:tc>
        <w:tc>
          <w:tcPr>
            <w:tcW w:w="5820" w:type="dxa"/>
            <w:vAlign w:val="bottom"/>
            <w:gridSpan w:val="10"/>
          </w:tcPr>
          <w:p>
            <w:pPr>
              <w:spacing w:after="0" w:line="196" w:lineRule="exact"/>
              <w:rPr>
                <w:sz w:val="20"/>
                <w:szCs w:val="20"/>
                <w:color w:val="auto"/>
              </w:rPr>
            </w:pPr>
            <w:r>
              <w:rPr>
                <w:rFonts w:ascii="Times New Roman" w:cs="Times New Roman" w:eastAsia="Times New Roman" w:hAnsi="Times New Roman"/>
                <w:sz w:val="19"/>
                <w:szCs w:val="19"/>
                <w:color w:val="auto"/>
              </w:rPr>
              <w:t>box below with “√” as applicable, and cross the other(s) with “×”; all boxes</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13"/>
          </w:tcPr>
          <w:p>
            <w:pPr>
              <w:spacing w:after="0"/>
              <w:rPr>
                <w:sz w:val="20"/>
                <w:szCs w:val="20"/>
                <w:color w:val="auto"/>
              </w:rPr>
            </w:pPr>
            <w:r>
              <w:rPr>
                <w:rFonts w:ascii="Times New Roman" w:cs="Times New Roman" w:eastAsia="Times New Roman" w:hAnsi="Times New Roman"/>
                <w:sz w:val="19"/>
                <w:szCs w:val="19"/>
                <w:color w:val="auto"/>
              </w:rPr>
              <w:t>shall be crossed if the interest rate is a fixed one):</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380" w:hanging="276"/>
        <w:spacing w:after="0"/>
        <w:tabs>
          <w:tab w:leader="none" w:pos="338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day following any adjustment to the </w:t>
      </w:r>
      <w:r>
        <w:rPr>
          <w:rFonts w:ascii="Times New Roman" w:cs="Times New Roman" w:eastAsia="Times New Roman" w:hAnsi="Times New Roman"/>
          <w:sz w:val="19"/>
          <w:szCs w:val="19"/>
          <w:b w:val="1"/>
          <w:bCs w:val="1"/>
          <w:u w:val="single" w:color="auto"/>
          <w:color w:val="auto"/>
        </w:rPr>
        <w:t>LPR</w:t>
      </w:r>
      <w:r>
        <w:rPr>
          <w:rFonts w:ascii="Times New Roman" w:cs="Times New Roman" w:eastAsia="Times New Roman" w:hAnsi="Times New Roman"/>
          <w:sz w:val="19"/>
          <w:szCs w:val="19"/>
          <w:color w:val="auto"/>
        </w:rPr>
        <w:t>;</w:t>
      </w:r>
    </w:p>
    <w:p>
      <w:pPr>
        <w:spacing w:after="0" w:line="109" w:lineRule="exact"/>
        <w:rPr>
          <w:rFonts w:ascii="Times New Roman" w:cs="Times New Roman" w:eastAsia="Times New Roman" w:hAnsi="Times New Roman"/>
          <w:sz w:val="19"/>
          <w:szCs w:val="19"/>
          <w:color w:val="auto"/>
        </w:rPr>
      </w:pPr>
    </w:p>
    <w:p>
      <w:pPr>
        <w:ind w:left="31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The first day of each </w:t>
      </w:r>
      <w:r>
        <w:rPr>
          <w:rFonts w:ascii="Times New Roman" w:cs="Times New Roman" w:eastAsia="Times New Roman" w:hAnsi="Times New Roman"/>
          <w:sz w:val="19"/>
          <w:szCs w:val="19"/>
          <w:u w:val="single" w:color="auto"/>
          <w:color w:val="auto"/>
        </w:rPr>
        <w:t>quarter</w:t>
      </w:r>
      <w:r>
        <w:rPr>
          <w:rFonts w:ascii="Times New Roman" w:cs="Times New Roman" w:eastAsia="Times New Roman" w:hAnsi="Times New Roman"/>
          <w:sz w:val="19"/>
          <w:szCs w:val="19"/>
          <w:color w:val="auto"/>
        </w:rPr>
        <w:t xml:space="preserve"> (year/quarter/month);</w:t>
      </w:r>
    </w:p>
    <w:p>
      <w:pPr>
        <w:spacing w:after="0" w:line="105" w:lineRule="exact"/>
        <w:rPr>
          <w:rFonts w:ascii="Times New Roman" w:cs="Times New Roman" w:eastAsia="Times New Roman" w:hAnsi="Times New Roman"/>
          <w:sz w:val="19"/>
          <w:szCs w:val="19"/>
          <w:color w:val="auto"/>
        </w:rPr>
      </w:pPr>
    </w:p>
    <w:p>
      <w:pPr>
        <w:ind w:left="3100" w:right="120" w:firstLine="4"/>
        <w:spacing w:after="0" w:line="265" w:lineRule="auto"/>
        <w:tabs>
          <w:tab w:leader="none" w:pos="3395"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anniversary of the Drawdown Date in each year (or the last day of the corresponding month in such year if no such anniversary exists);</w:t>
      </w:r>
    </w:p>
    <w:p>
      <w:pPr>
        <w:spacing w:after="0" w:line="57" w:lineRule="exact"/>
        <w:rPr>
          <w:rFonts w:ascii="Times New Roman" w:cs="Times New Roman" w:eastAsia="Times New Roman" w:hAnsi="Times New Roman"/>
          <w:sz w:val="19"/>
          <w:szCs w:val="19"/>
          <w:color w:val="auto"/>
        </w:rPr>
      </w:pPr>
    </w:p>
    <w:p>
      <w:pPr>
        <w:ind w:left="3380" w:hanging="276"/>
        <w:spacing w:after="0"/>
        <w:tabs>
          <w:tab w:leader="none" w:pos="338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9"/>
                <w:szCs w:val="19"/>
                <w:b w:val="1"/>
                <w:bCs w:val="1"/>
                <w:color w:val="auto"/>
                <w:w w:val="98"/>
              </w:rPr>
              <w:t>Interest Period</w:t>
            </w:r>
          </w:p>
        </w:tc>
        <w:tc>
          <w:tcPr>
            <w:tcW w:w="1220" w:type="dxa"/>
            <w:vAlign w:val="bottom"/>
            <w:gridSpan w:val="3"/>
          </w:tcPr>
          <w:p>
            <w:pPr>
              <w:spacing w:after="0"/>
              <w:rPr>
                <w:sz w:val="18"/>
                <w:szCs w:val="18"/>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means the period determined pursuant to Article 5.3 (</w:t>
            </w:r>
            <w:r>
              <w:rPr>
                <w:rFonts w:ascii="Times New Roman" w:cs="Times New Roman" w:eastAsia="Times New Roman" w:hAnsi="Times New Roman"/>
                <w:sz w:val="19"/>
                <w:szCs w:val="19"/>
                <w:i w:val="1"/>
                <w:iCs w:val="1"/>
                <w:color w:val="auto"/>
              </w:rPr>
              <w:t>Interest Period</w:t>
            </w:r>
            <w:r>
              <w:rPr>
                <w:rFonts w:ascii="Times New Roman" w:cs="Times New Roman" w:eastAsia="Times New Roman" w:hAnsi="Times New Roman"/>
                <w:sz w:val="19"/>
                <w:szCs w:val="19"/>
                <w:color w:val="auto"/>
              </w:rPr>
              <w:t>) hereof.</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9"/>
                <w:szCs w:val="19"/>
                <w:b w:val="1"/>
                <w:bCs w:val="1"/>
                <w:color w:val="auto"/>
                <w:w w:val="98"/>
              </w:rPr>
              <w:t>Potential Event of Default</w:t>
            </w:r>
          </w:p>
        </w:tc>
        <w:tc>
          <w:tcPr>
            <w:tcW w:w="340" w:type="dxa"/>
            <w:vAlign w:val="bottom"/>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means any event or circumstance which, with the lapse of a cure period, the giving of notice, the making</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44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b w:val="1"/>
                <w:bCs w:val="1"/>
                <w:color w:val="auto"/>
              </w:rPr>
              <w:t>PBOC</w:t>
            </w:r>
          </w:p>
        </w:tc>
        <w:tc>
          <w:tcPr>
            <w:tcW w:w="8140" w:type="dxa"/>
            <w:vAlign w:val="bottom"/>
            <w:gridSpan w:val="16"/>
          </w:tcPr>
          <w:p>
            <w:pPr>
              <w:spacing w:after="0" w:line="196" w:lineRule="exact"/>
              <w:rPr>
                <w:sz w:val="20"/>
                <w:szCs w:val="20"/>
                <w:color w:val="auto"/>
              </w:rPr>
            </w:pPr>
            <w:r>
              <w:rPr>
                <w:rFonts w:ascii="Times New Roman" w:cs="Times New Roman" w:eastAsia="Times New Roman" w:hAnsi="Times New Roman"/>
                <w:sz w:val="19"/>
                <w:szCs w:val="19"/>
                <w:color w:val="auto"/>
              </w:rPr>
              <w:t xml:space="preserve">of any determination, and/or the occurrence of similar events, would constitute an </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2440" w:type="dxa"/>
            <w:vAlign w:val="bottom"/>
            <w:gridSpan w:val="6"/>
            <w:vMerge w:val="continue"/>
          </w:tcPr>
          <w:p>
            <w:pPr>
              <w:spacing w:after="0"/>
              <w:rPr>
                <w:sz w:val="24"/>
                <w:szCs w:val="24"/>
                <w:color w:val="auto"/>
              </w:rPr>
            </w:pPr>
          </w:p>
        </w:tc>
        <w:tc>
          <w:tcPr>
            <w:tcW w:w="62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means the People’s Bank of China.</w:t>
            </w:r>
          </w:p>
        </w:tc>
        <w:tc>
          <w:tcPr>
            <w:tcW w:w="1320" w:type="dxa"/>
            <w:vAlign w:val="bottom"/>
            <w:tcBorders>
              <w:top w:val="single" w:sz="8" w:color="auto"/>
            </w:tcBorders>
            <w:gridSpan w:val="5"/>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RMB</w:t>
            </w:r>
          </w:p>
        </w:tc>
        <w:tc>
          <w:tcPr>
            <w:tcW w:w="1920" w:type="dxa"/>
            <w:vAlign w:val="bottom"/>
            <w:gridSpan w:val="4"/>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 xml:space="preserve">means the lawful currency of </w:t>
            </w:r>
            <w:r>
              <w:rPr>
                <w:rFonts w:ascii="Times New Roman" w:cs="Times New Roman" w:eastAsia="Times New Roman" w:hAnsi="Times New Roman"/>
                <w:sz w:val="19"/>
                <w:szCs w:val="19"/>
                <w:b w:val="1"/>
                <w:bCs w:val="1"/>
                <w:color w:val="auto"/>
              </w:rPr>
              <w:t>China</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w w:val="98"/>
              </w:rPr>
              <w:t>Finance Documents</w:t>
            </w:r>
          </w:p>
        </w:tc>
        <w:tc>
          <w:tcPr>
            <w:tcW w:w="840" w:type="dxa"/>
            <w:vAlign w:val="bottom"/>
            <w:gridSpan w:val="2"/>
          </w:tcPr>
          <w:p>
            <w:pPr>
              <w:spacing w:after="0"/>
              <w:rPr>
                <w:sz w:val="24"/>
                <w:szCs w:val="24"/>
                <w:color w:val="auto"/>
              </w:rPr>
            </w:pPr>
          </w:p>
        </w:tc>
        <w:tc>
          <w:tcPr>
            <w:tcW w:w="8140" w:type="dxa"/>
            <w:vAlign w:val="bottom"/>
            <w:gridSpan w:val="16"/>
          </w:tcPr>
          <w:p>
            <w:pPr>
              <w:spacing w:after="0"/>
              <w:rPr>
                <w:sz w:val="20"/>
                <w:szCs w:val="20"/>
                <w:color w:val="auto"/>
              </w:rPr>
            </w:pPr>
            <w:r>
              <w:rPr>
                <w:rFonts w:ascii="Times New Roman" w:cs="Times New Roman" w:eastAsia="Times New Roman" w:hAnsi="Times New Roman"/>
                <w:sz w:val="19"/>
                <w:szCs w:val="19"/>
                <w:color w:val="auto"/>
              </w:rPr>
              <w:t xml:space="preserve">means this Contract, any </w:t>
            </w:r>
            <w:r>
              <w:rPr>
                <w:rFonts w:ascii="Times New Roman" w:cs="Times New Roman" w:eastAsia="Times New Roman" w:hAnsi="Times New Roman"/>
                <w:sz w:val="19"/>
                <w:szCs w:val="19"/>
                <w:b w:val="1"/>
                <w:bCs w:val="1"/>
                <w:color w:val="auto"/>
              </w:rPr>
              <w:t>Fee 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Drawdown Notice</w:t>
            </w:r>
            <w:r>
              <w:rPr>
                <w:rFonts w:ascii="Times New Roman" w:cs="Times New Roman" w:eastAsia="Times New Roman" w:hAnsi="Times New Roman"/>
                <w:sz w:val="19"/>
                <w:szCs w:val="19"/>
                <w:color w:val="auto"/>
              </w:rPr>
              <w:t xml:space="preserve">, each </w:t>
            </w:r>
            <w:r>
              <w:rPr>
                <w:rFonts w:ascii="Times New Roman" w:cs="Times New Roman" w:eastAsia="Times New Roman" w:hAnsi="Times New Roman"/>
                <w:sz w:val="19"/>
                <w:szCs w:val="19"/>
                <w:b w:val="1"/>
                <w:bCs w:val="1"/>
                <w:color w:val="auto"/>
              </w:rPr>
              <w:t>Security Documents</w:t>
            </w:r>
            <w:r>
              <w:rPr>
                <w:rFonts w:ascii="Times New Roman" w:cs="Times New Roman" w:eastAsia="Times New Roman" w:hAnsi="Times New Roman"/>
                <w:sz w:val="19"/>
                <w:szCs w:val="19"/>
                <w:color w:val="auto"/>
              </w:rPr>
              <w:t>, each Transfer</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40" w:type="dxa"/>
            <w:vAlign w:val="bottom"/>
            <w:gridSpan w:val="16"/>
          </w:tcPr>
          <w:p>
            <w:pPr>
              <w:spacing w:after="0" w:line="196" w:lineRule="exact"/>
              <w:rPr>
                <w:sz w:val="20"/>
                <w:szCs w:val="20"/>
                <w:color w:val="auto"/>
              </w:rPr>
            </w:pPr>
            <w:r>
              <w:rPr>
                <w:rFonts w:ascii="Times New Roman" w:cs="Times New Roman" w:eastAsia="Times New Roman" w:hAnsi="Times New Roman"/>
                <w:sz w:val="19"/>
                <w:szCs w:val="19"/>
                <w:color w:val="auto"/>
              </w:rPr>
              <w:t xml:space="preserve">Certificate (if any), and any other document designated as a </w:t>
            </w:r>
            <w:r>
              <w:rPr>
                <w:rFonts w:ascii="Times New Roman" w:cs="Times New Roman" w:eastAsia="Times New Roman" w:hAnsi="Times New Roman"/>
                <w:sz w:val="19"/>
                <w:szCs w:val="19"/>
                <w:b w:val="1"/>
                <w:bCs w:val="1"/>
                <w:color w:val="auto"/>
              </w:rPr>
              <w:t>Finance Document</w:t>
            </w:r>
            <w:r>
              <w:rPr>
                <w:rFonts w:ascii="Times New Roman" w:cs="Times New Roman" w:eastAsia="Times New Roman" w:hAnsi="Times New Roman"/>
                <w:sz w:val="19"/>
                <w:szCs w:val="19"/>
                <w:color w:val="auto"/>
              </w:rPr>
              <w:t xml:space="preserve"> by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and the</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60" w:type="dxa"/>
            <w:vAlign w:val="bottom"/>
            <w:gridSpan w:val="8"/>
          </w:tcPr>
          <w:p>
            <w:pPr>
              <w:spacing w:after="0" w:line="196" w:lineRule="exact"/>
              <w:rPr>
                <w:sz w:val="20"/>
                <w:szCs w:val="20"/>
                <w:color w:val="auto"/>
              </w:rPr>
            </w:pP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tc>
        <w:tc>
          <w:tcPr>
            <w:tcW w:w="1520" w:type="dxa"/>
            <w:vAlign w:val="bottom"/>
            <w:tcBorders>
              <w:top w:val="single" w:sz="8" w:color="auto"/>
            </w:tcBorders>
            <w:gridSpan w:val="3"/>
          </w:tcPr>
          <w:p>
            <w:pPr>
              <w:spacing w:after="0"/>
              <w:rPr>
                <w:sz w:val="17"/>
                <w:szCs w:val="17"/>
                <w:color w:val="auto"/>
              </w:rPr>
            </w:pPr>
          </w:p>
        </w:tc>
        <w:tc>
          <w:tcPr>
            <w:tcW w:w="620" w:type="dxa"/>
            <w:vAlign w:val="bottom"/>
            <w:gridSpan w:val="2"/>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340" w:type="dxa"/>
            <w:vAlign w:val="bottom"/>
            <w:gridSpan w:val="15"/>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734"/>
        </w:trPr>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6" w:name="page217"/>
    <w:bookmarkEnd w:id="216"/>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9"/>
                <w:szCs w:val="19"/>
                <w:b w:val="1"/>
                <w:bCs w:val="1"/>
                <w:color w:val="auto"/>
                <w:w w:val="97"/>
              </w:rPr>
              <w:t>Effective Date</w:t>
            </w:r>
          </w:p>
        </w:tc>
        <w:tc>
          <w:tcPr>
            <w:tcW w:w="840" w:type="dxa"/>
            <w:vAlign w:val="bottom"/>
            <w:gridSpan w:val="8"/>
          </w:tcPr>
          <w:p>
            <w:pPr>
              <w:spacing w:after="0"/>
              <w:rPr>
                <w:sz w:val="18"/>
                <w:szCs w:val="18"/>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has the meaning set forth in Article XXVIII (</w:t>
            </w:r>
            <w:r>
              <w:rPr>
                <w:rFonts w:ascii="Times New Roman" w:cs="Times New Roman" w:eastAsia="Times New Roman" w:hAnsi="Times New Roman"/>
                <w:sz w:val="19"/>
                <w:szCs w:val="19"/>
                <w:i w:val="1"/>
                <w:iCs w:val="1"/>
                <w:color w:val="auto"/>
              </w:rPr>
              <w:t>Effectiveness</w:t>
            </w:r>
            <w:r>
              <w:rPr>
                <w:rFonts w:ascii="Times New Roman" w:cs="Times New Roman" w:eastAsia="Times New Roman" w:hAnsi="Times New Roman"/>
                <w:sz w:val="19"/>
                <w:szCs w:val="19"/>
                <w:color w:val="auto"/>
              </w:rPr>
              <w:t>) hereof.</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Taxes</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means any and all taxes, fees, duties, withholding taxes or other similar taxes and charges imposed by the</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gridSpan w:val="39"/>
          </w:tcPr>
          <w:p>
            <w:pPr>
              <w:ind w:left="460"/>
              <w:spacing w:after="0" w:line="210" w:lineRule="exact"/>
              <w:rPr>
                <w:sz w:val="20"/>
                <w:szCs w:val="20"/>
                <w:color w:val="auto"/>
              </w:rPr>
            </w:pPr>
            <w:r>
              <w:rPr>
                <w:rFonts w:ascii="Times New Roman" w:cs="Times New Roman" w:eastAsia="Times New Roman" w:hAnsi="Times New Roman"/>
                <w:sz w:val="19"/>
                <w:szCs w:val="19"/>
                <w:color w:val="auto"/>
              </w:rPr>
              <w:t>tax, fiscal or other administrative authorities of any jurisdiction, together with any fines and interest</w:t>
            </w: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payable in respect of late payment of any of the foregoing.</w:t>
            </w:r>
          </w:p>
        </w:tc>
        <w:tc>
          <w:tcPr>
            <w:tcW w:w="0" w:type="dxa"/>
            <w:vAlign w:val="bottom"/>
          </w:tcPr>
          <w:p>
            <w:pPr>
              <w:spacing w:after="0"/>
              <w:rPr>
                <w:sz w:val="1"/>
                <w:szCs w:val="1"/>
                <w:color w:val="auto"/>
              </w:rPr>
            </w:pPr>
          </w:p>
        </w:tc>
      </w:tr>
      <w:tr>
        <w:trPr>
          <w:trHeight w:val="389"/>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Tax Authority</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means the State Taxation Administration and/or its local branches.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color w:val="auto"/>
                <w:w w:val="98"/>
              </w:rPr>
              <w:t>Drawdown Period</w:t>
            </w:r>
          </w:p>
        </w:tc>
        <w:tc>
          <w:tcPr>
            <w:tcW w:w="500" w:type="dxa"/>
            <w:vAlign w:val="bottom"/>
            <w:gridSpan w:val="4"/>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the period commencing on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hereof/the First </w:t>
            </w:r>
            <w:r>
              <w:rPr>
                <w:rFonts w:ascii="Times New Roman" w:cs="Times New Roman" w:eastAsia="Times New Roman" w:hAnsi="Times New Roman"/>
                <w:sz w:val="19"/>
                <w:szCs w:val="19"/>
                <w:b w:val="1"/>
                <w:bCs w:val="1"/>
                <w:color w:val="auto"/>
              </w:rPr>
              <w:t>Drawdown Date</w:t>
            </w:r>
            <w:r>
              <w:rPr>
                <w:rFonts w:ascii="Times New Roman" w:cs="Times New Roman" w:eastAsia="Times New Roman" w:hAnsi="Times New Roman"/>
                <w:sz w:val="19"/>
                <w:szCs w:val="19"/>
                <w:color w:val="auto"/>
              </w:rPr>
              <w:t xml:space="preserve"> and ending on</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80" w:type="dxa"/>
            <w:vAlign w:val="bottom"/>
            <w:gridSpan w:val="11"/>
          </w:tcPr>
          <w:p>
            <w:pPr>
              <w:ind w:left="460"/>
              <w:spacing w:after="0"/>
              <w:rPr>
                <w:sz w:val="20"/>
                <w:szCs w:val="20"/>
                <w:color w:val="auto"/>
              </w:rPr>
            </w:pPr>
            <w:r>
              <w:rPr>
                <w:rFonts w:ascii="Times New Roman" w:cs="Times New Roman" w:eastAsia="Times New Roman" w:hAnsi="Times New Roman"/>
                <w:sz w:val="19"/>
                <w:szCs w:val="19"/>
                <w:color w:val="auto"/>
              </w:rPr>
              <w:t>[December 31, 2025] (inclusive).</w:t>
            </w:r>
          </w:p>
        </w:tc>
        <w:tc>
          <w:tcPr>
            <w:tcW w:w="1140" w:type="dxa"/>
            <w:vAlign w:val="bottom"/>
            <w:tcBorders>
              <w:top w:val="single" w:sz="8" w:color="auto"/>
            </w:tcBorders>
            <w:gridSpan w:val="7"/>
          </w:tcPr>
          <w:p>
            <w:pPr>
              <w:spacing w:after="0"/>
              <w:rPr>
                <w:sz w:val="20"/>
                <w:szCs w:val="20"/>
                <w:color w:val="auto"/>
              </w:rPr>
            </w:pPr>
          </w:p>
        </w:tc>
        <w:tc>
          <w:tcPr>
            <w:tcW w:w="1320" w:type="dxa"/>
            <w:vAlign w:val="bottom"/>
            <w:gridSpan w:val="6"/>
          </w:tcPr>
          <w:p>
            <w:pPr>
              <w:spacing w:after="0"/>
              <w:rPr>
                <w:sz w:val="20"/>
                <w:szCs w:val="20"/>
                <w:color w:val="auto"/>
              </w:rPr>
            </w:pPr>
          </w:p>
        </w:tc>
        <w:tc>
          <w:tcPr>
            <w:tcW w:w="1340" w:type="dxa"/>
            <w:vAlign w:val="bottom"/>
            <w:tcBorders>
              <w:top w:val="single" w:sz="8" w:color="auto"/>
            </w:tcBorders>
            <w:gridSpan w:val="9"/>
          </w:tcPr>
          <w:p>
            <w:pPr>
              <w:spacing w:after="0"/>
              <w:rPr>
                <w:sz w:val="20"/>
                <w:szCs w:val="20"/>
                <w:color w:val="auto"/>
              </w:rPr>
            </w:pPr>
          </w:p>
        </w:tc>
        <w:tc>
          <w:tcPr>
            <w:tcW w:w="13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66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9"/>
                <w:szCs w:val="19"/>
                <w:b w:val="1"/>
                <w:bCs w:val="1"/>
                <w:color w:val="auto"/>
                <w:w w:val="98"/>
              </w:rPr>
              <w:t>Drawdown Date</w:t>
            </w:r>
          </w:p>
        </w:tc>
        <w:tc>
          <w:tcPr>
            <w:tcW w:w="660" w:type="dxa"/>
            <w:vAlign w:val="bottom"/>
            <w:gridSpan w:val="6"/>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each date for drawing down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as specified in Article 4.1 (</w:t>
            </w:r>
            <w:r>
              <w:rPr>
                <w:rFonts w:ascii="Times New Roman" w:cs="Times New Roman" w:eastAsia="Times New Roman" w:hAnsi="Times New Roman"/>
                <w:sz w:val="19"/>
                <w:szCs w:val="19"/>
                <w:i w:val="1"/>
                <w:iCs w:val="1"/>
                <w:color w:val="auto"/>
              </w:rPr>
              <w:t>Drawdown</w:t>
            </w:r>
            <w:r>
              <w:rPr>
                <w:rFonts w:ascii="Times New Roman" w:cs="Times New Roman" w:eastAsia="Times New Roman" w:hAnsi="Times New Roman"/>
                <w:sz w:val="19"/>
                <w:szCs w:val="19"/>
                <w:color w:val="auto"/>
              </w:rPr>
              <w:t>) hereof. If the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9"/>
            <w:vMerge w:val="restart"/>
          </w:tcPr>
          <w:p>
            <w:pPr>
              <w:ind w:left="460"/>
              <w:spacing w:after="0" w:line="216" w:lineRule="exact"/>
              <w:rPr>
                <w:sz w:val="20"/>
                <w:szCs w:val="20"/>
                <w:color w:val="auto"/>
              </w:rPr>
            </w:pPr>
            <w:r>
              <w:rPr>
                <w:rFonts w:ascii="Times New Roman" w:cs="Times New Roman" w:eastAsia="Times New Roman" w:hAnsi="Times New Roman"/>
                <w:sz w:val="19"/>
                <w:szCs w:val="19"/>
                <w:color w:val="auto"/>
              </w:rPr>
              <w:t>actual drawdown date differs from</w:t>
            </w: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gridSpan w:val="9"/>
            <w:vMerge w:val="continue"/>
          </w:tcPr>
          <w:p>
            <w:pPr>
              <w:spacing w:after="0"/>
              <w:rPr>
                <w:sz w:val="17"/>
                <w:szCs w:val="17"/>
                <w:color w:val="auto"/>
              </w:rPr>
            </w:pPr>
          </w:p>
        </w:tc>
        <w:tc>
          <w:tcPr>
            <w:tcW w:w="5320" w:type="dxa"/>
            <w:vAlign w:val="bottom"/>
            <w:gridSpan w:val="30"/>
          </w:tcPr>
          <w:p>
            <w:pPr>
              <w:jc w:val="right"/>
              <w:ind w:right="26"/>
              <w:spacing w:after="0" w:line="196" w:lineRule="exact"/>
              <w:rPr>
                <w:sz w:val="20"/>
                <w:szCs w:val="20"/>
                <w:color w:val="auto"/>
              </w:rPr>
            </w:pPr>
            <w:r>
              <w:rPr>
                <w:rFonts w:ascii="Times New Roman" w:cs="Times New Roman" w:eastAsia="Times New Roman" w:hAnsi="Times New Roman"/>
                <w:sz w:val="19"/>
                <w:szCs w:val="19"/>
                <w:color w:val="auto"/>
              </w:rPr>
              <w:t xml:space="preserve">the date agreed herein or specified in the </w:t>
            </w:r>
            <w:r>
              <w:rPr>
                <w:rFonts w:ascii="Times New Roman" w:cs="Times New Roman" w:eastAsia="Times New Roman" w:hAnsi="Times New Roman"/>
                <w:sz w:val="19"/>
                <w:szCs w:val="19"/>
                <w:b w:val="1"/>
                <w:bCs w:val="1"/>
                <w:color w:val="auto"/>
              </w:rPr>
              <w:t>Drawdown Notice</w:t>
            </w:r>
            <w:r>
              <w:rPr>
                <w:rFonts w:ascii="Times New Roman" w:cs="Times New Roman" w:eastAsia="Times New Roman" w:hAnsi="Times New Roman"/>
                <w:sz w:val="19"/>
                <w:szCs w:val="19"/>
                <w:color w:val="auto"/>
              </w:rPr>
              <w:t xml:space="preserve"> for</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6"/>
              <w:spacing w:after="0" w:line="216" w:lineRule="exact"/>
              <w:rPr>
                <w:sz w:val="20"/>
                <w:szCs w:val="20"/>
                <w:color w:val="auto"/>
              </w:rPr>
            </w:pPr>
            <w:r>
              <w:rPr>
                <w:rFonts w:ascii="Times New Roman" w:cs="Times New Roman" w:eastAsia="Times New Roman" w:hAnsi="Times New Roman"/>
                <w:sz w:val="19"/>
                <w:szCs w:val="19"/>
                <w:color w:val="auto"/>
                <w:w w:val="77"/>
              </w:rPr>
              <w:t>shall</w:t>
            </w: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gridSpan w:val="38"/>
          </w:tcPr>
          <w:p>
            <w:pPr>
              <w:ind w:left="460"/>
              <w:spacing w:after="0" w:line="196" w:lineRule="exact"/>
              <w:rPr>
                <w:sz w:val="20"/>
                <w:szCs w:val="20"/>
                <w:color w:val="auto"/>
              </w:rPr>
            </w:pPr>
            <w:r>
              <w:rPr>
                <w:rFonts w:ascii="Times New Roman" w:cs="Times New Roman" w:eastAsia="Times New Roman" w:hAnsi="Times New Roman"/>
                <w:sz w:val="19"/>
                <w:szCs w:val="19"/>
                <w:color w:val="auto"/>
              </w:rPr>
              <w:t xml:space="preserve">drawing such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the date on which such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are credited to the </w:t>
            </w:r>
            <w:r>
              <w:rPr>
                <w:rFonts w:ascii="Times New Roman" w:cs="Times New Roman" w:eastAsia="Times New Roman" w:hAnsi="Times New Roman"/>
                <w:sz w:val="19"/>
                <w:szCs w:val="19"/>
                <w:b w:val="1"/>
                <w:bCs w:val="1"/>
                <w:color w:val="auto"/>
              </w:rPr>
              <w:t>Loan Account</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be the Drawdown Date.</w:t>
            </w:r>
          </w:p>
        </w:tc>
        <w:tc>
          <w:tcPr>
            <w:tcW w:w="0" w:type="dxa"/>
            <w:vAlign w:val="bottom"/>
          </w:tcPr>
          <w:p>
            <w:pPr>
              <w:spacing w:after="0"/>
              <w:rPr>
                <w:sz w:val="1"/>
                <w:szCs w:val="1"/>
                <w:color w:val="auto"/>
              </w:rPr>
            </w:pPr>
          </w:p>
        </w:tc>
      </w:tr>
      <w:tr>
        <w:trPr>
          <w:trHeight w:val="389"/>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Drawdown Notice</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 notice for drawing down the Loan completed and submitted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pursuant to Article</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27"/>
          </w:tcPr>
          <w:p>
            <w:pPr>
              <w:ind w:left="460"/>
              <w:spacing w:after="0"/>
              <w:rPr>
                <w:sz w:val="20"/>
                <w:szCs w:val="20"/>
                <w:color w:val="auto"/>
              </w:rPr>
            </w:pPr>
            <w:r>
              <w:rPr>
                <w:rFonts w:ascii="Times New Roman" w:cs="Times New Roman" w:eastAsia="Times New Roman" w:hAnsi="Times New Roman"/>
                <w:sz w:val="19"/>
                <w:szCs w:val="19"/>
                <w:color w:val="auto"/>
              </w:rPr>
              <w:t>4.1 (</w:t>
            </w:r>
            <w:r>
              <w:rPr>
                <w:rFonts w:ascii="Times New Roman" w:cs="Times New Roman" w:eastAsia="Times New Roman" w:hAnsi="Times New Roman"/>
                <w:sz w:val="19"/>
                <w:szCs w:val="19"/>
                <w:i w:val="1"/>
                <w:iCs w:val="1"/>
                <w:color w:val="auto"/>
              </w:rPr>
              <w:t>Drawdown Notice</w:t>
            </w:r>
            <w:r>
              <w:rPr>
                <w:rFonts w:ascii="Times New Roman" w:cs="Times New Roman" w:eastAsia="Times New Roman" w:hAnsi="Times New Roman"/>
                <w:sz w:val="19"/>
                <w:szCs w:val="19"/>
                <w:color w:val="auto"/>
              </w:rPr>
              <w:t>) hereof.</w:t>
            </w:r>
          </w:p>
        </w:tc>
        <w:tc>
          <w:tcPr>
            <w:tcW w:w="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Event of Default</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means any event or circumstance listed in Article 16.1 (</w:t>
            </w:r>
            <w:r>
              <w:rPr>
                <w:rFonts w:ascii="Times New Roman" w:cs="Times New Roman" w:eastAsia="Times New Roman" w:hAnsi="Times New Roman"/>
                <w:sz w:val="19"/>
                <w:szCs w:val="19"/>
                <w:i w:val="1"/>
                <w:iCs w:val="1"/>
                <w:color w:val="auto"/>
              </w:rPr>
              <w:t>Events of Default</w:t>
            </w:r>
            <w:r>
              <w:rPr>
                <w:rFonts w:ascii="Times New Roman" w:cs="Times New Roman" w:eastAsia="Times New Roman" w:hAnsi="Times New Roman"/>
                <w:sz w:val="19"/>
                <w:szCs w:val="19"/>
                <w:color w:val="auto"/>
              </w:rPr>
              <w:t>) hereof.</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w w:val="98"/>
              </w:rPr>
              <w:t>Document Confirmation</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 document confirmation signed and submitted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substantially in the form and</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980" w:type="dxa"/>
            <w:vAlign w:val="bottom"/>
            <w:tcBorders>
              <w:top w:val="single" w:sz="8" w:color="auto"/>
            </w:tcBorders>
            <w:gridSpan w:val="12"/>
            <w:vMerge w:val="restart"/>
          </w:tcPr>
          <w:p>
            <w:pPr>
              <w:spacing w:after="0"/>
              <w:rPr>
                <w:sz w:val="20"/>
                <w:szCs w:val="20"/>
                <w:color w:val="auto"/>
              </w:rPr>
            </w:pPr>
            <w:r>
              <w:rPr>
                <w:rFonts w:ascii="Times New Roman" w:cs="Times New Roman" w:eastAsia="Times New Roman" w:hAnsi="Times New Roman"/>
                <w:sz w:val="19"/>
                <w:szCs w:val="19"/>
                <w:b w:val="1"/>
                <w:bCs w:val="1"/>
                <w:color w:val="auto"/>
              </w:rPr>
              <w:t>Project</w:t>
            </w:r>
          </w:p>
        </w:tc>
        <w:tc>
          <w:tcPr>
            <w:tcW w:w="5320" w:type="dxa"/>
            <w:vAlign w:val="bottom"/>
            <w:gridSpan w:val="21"/>
          </w:tcPr>
          <w:p>
            <w:pPr>
              <w:ind w:left="460"/>
              <w:spacing w:after="0"/>
              <w:rPr>
                <w:sz w:val="20"/>
                <w:szCs w:val="20"/>
                <w:color w:val="auto"/>
              </w:rPr>
            </w:pPr>
            <w:r>
              <w:rPr>
                <w:rFonts w:ascii="Times New Roman" w:cs="Times New Roman" w:eastAsia="Times New Roman" w:hAnsi="Times New Roman"/>
                <w:sz w:val="19"/>
                <w:szCs w:val="19"/>
                <w:color w:val="auto"/>
                <w:w w:val="98"/>
              </w:rPr>
              <w:t>content of Schedule 2 (</w:t>
            </w:r>
            <w:r>
              <w:rPr>
                <w:rFonts w:ascii="Times New Roman" w:cs="Times New Roman" w:eastAsia="Times New Roman" w:hAnsi="Times New Roman"/>
                <w:sz w:val="19"/>
                <w:szCs w:val="19"/>
                <w:i w:val="1"/>
                <w:iCs w:val="1"/>
                <w:color w:val="auto"/>
                <w:w w:val="98"/>
              </w:rPr>
              <w:t>Form of Document Confirmation</w:t>
            </w:r>
            <w:r>
              <w:rPr>
                <w:rFonts w:ascii="Times New Roman" w:cs="Times New Roman" w:eastAsia="Times New Roman" w:hAnsi="Times New Roman"/>
                <w:sz w:val="19"/>
                <w:szCs w:val="19"/>
                <w:color w:val="auto"/>
                <w:w w:val="98"/>
              </w:rPr>
              <w:t>) hereto.</w:t>
            </w:r>
          </w:p>
        </w:tc>
        <w:tc>
          <w:tcPr>
            <w:tcW w:w="400" w:type="dxa"/>
            <w:vAlign w:val="bottom"/>
            <w:tcBorders>
              <w:top w:val="single" w:sz="8" w:color="auto"/>
            </w:tcBorders>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60" w:type="dxa"/>
            <w:vAlign w:val="bottom"/>
            <w:gridSpan w:val="4"/>
          </w:tcPr>
          <w:p>
            <w:pPr>
              <w:spacing w:after="0"/>
              <w:rPr>
                <w:sz w:val="20"/>
                <w:szCs w:val="20"/>
                <w:color w:val="auto"/>
              </w:rPr>
            </w:pPr>
          </w:p>
        </w:tc>
        <w:tc>
          <w:tcPr>
            <w:tcW w:w="22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1980" w:type="dxa"/>
            <w:vAlign w:val="bottom"/>
            <w:gridSpan w:val="12"/>
            <w:vMerge w:val="continue"/>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means [the Borrower’s acquisition of [Redacted]].</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20" w:type="dxa"/>
            <w:vAlign w:val="bottom"/>
            <w:gridSpan w:val="11"/>
          </w:tcPr>
          <w:p>
            <w:pPr>
              <w:spacing w:after="0"/>
              <w:rPr>
                <w:sz w:val="20"/>
                <w:szCs w:val="20"/>
                <w:color w:val="auto"/>
              </w:rPr>
            </w:pPr>
            <w:r>
              <w:rPr>
                <w:rFonts w:ascii="Times New Roman" w:cs="Times New Roman" w:eastAsia="Times New Roman" w:hAnsi="Times New Roman"/>
                <w:sz w:val="19"/>
                <w:szCs w:val="19"/>
                <w:b w:val="1"/>
                <w:bCs w:val="1"/>
                <w:color w:val="auto"/>
                <w:w w:val="98"/>
              </w:rPr>
              <w:t>Permitted Indebtedness</w:t>
            </w: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any of the following </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1. Any </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xml:space="preserve"> under the </w:t>
            </w:r>
            <w:r>
              <w:rPr>
                <w:rFonts w:ascii="Times New Roman" w:cs="Times New Roman" w:eastAsia="Times New Roman" w:hAnsi="Times New Roman"/>
                <w:sz w:val="19"/>
                <w:szCs w:val="19"/>
                <w:b w:val="1"/>
                <w:bCs w:val="1"/>
                <w:color w:val="auto"/>
              </w:rPr>
              <w:t>Finance Documents</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2. [/]; and/or</w:t>
            </w:r>
          </w:p>
        </w:tc>
        <w:tc>
          <w:tcPr>
            <w:tcW w:w="0" w:type="dxa"/>
            <w:vAlign w:val="bottom"/>
          </w:tcPr>
          <w:p>
            <w:pPr>
              <w:spacing w:after="0"/>
              <w:rPr>
                <w:sz w:val="1"/>
                <w:szCs w:val="1"/>
                <w:color w:val="auto"/>
              </w:rPr>
            </w:pPr>
          </w:p>
        </w:tc>
      </w:tr>
      <w:tr>
        <w:trPr>
          <w:trHeight w:val="282"/>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3. Any </w:t>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xml:space="preserve"> approved by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color w:val="auto"/>
              </w:rPr>
              <w:t>Majority Lenders</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Permitted Investments</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any of the following investments of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47"/>
        </w:trPr>
        <w:tc>
          <w:tcPr>
            <w:tcW w:w="6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1. [/];</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2. [/]; and/or</w:t>
            </w:r>
          </w:p>
        </w:tc>
        <w:tc>
          <w:tcPr>
            <w:tcW w:w="0" w:type="dxa"/>
            <w:vAlign w:val="bottom"/>
          </w:tcPr>
          <w:p>
            <w:pPr>
              <w:spacing w:after="0"/>
              <w:rPr>
                <w:sz w:val="1"/>
                <w:szCs w:val="1"/>
                <w:color w:val="auto"/>
              </w:rPr>
            </w:pPr>
          </w:p>
        </w:tc>
      </w:tr>
      <w:tr>
        <w:trPr>
          <w:trHeight w:val="282"/>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3. Any investment approved by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color w:val="auto"/>
              </w:rPr>
              <w:t>Majority Lenders</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Business Day</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 day on which each </w:t>
            </w:r>
            <w:r>
              <w:rPr>
                <w:rFonts w:ascii="Times New Roman" w:cs="Times New Roman" w:eastAsia="Times New Roman" w:hAnsi="Times New Roman"/>
                <w:sz w:val="19"/>
                <w:szCs w:val="19"/>
                <w:b w:val="1"/>
                <w:bCs w:val="1"/>
                <w:color w:val="auto"/>
              </w:rPr>
              <w:t>Syndicate Member</w:t>
            </w:r>
            <w:r>
              <w:rPr>
                <w:rFonts w:ascii="Times New Roman" w:cs="Times New Roman" w:eastAsia="Times New Roman" w:hAnsi="Times New Roman"/>
                <w:sz w:val="19"/>
                <w:szCs w:val="19"/>
                <w:color w:val="auto"/>
              </w:rPr>
              <w:t xml:space="preserve"> is open for general corporate banking business,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tcBorders>
              <w:right w:val="single" w:sz="8" w:color="auto"/>
            </w:tcBorders>
            <w:gridSpan w:val="3"/>
            <w:shd w:val="clear" w:color="auto" w:fill="000000"/>
          </w:tcPr>
          <w:p>
            <w:pPr>
              <w:spacing w:after="0" w:line="20" w:lineRule="exact"/>
              <w:rPr>
                <w:sz w:val="1"/>
                <w:szCs w:val="1"/>
                <w:color w:val="auto"/>
              </w:rPr>
            </w:pPr>
          </w:p>
        </w:tc>
        <w:tc>
          <w:tcPr>
            <w:tcW w:w="1020" w:type="dxa"/>
            <w:vAlign w:val="bottom"/>
            <w:tcBorders>
              <w:right w:val="single" w:sz="8" w:color="auto"/>
            </w:tcBorders>
            <w:gridSpan w:val="7"/>
            <w:shd w:val="clear" w:color="auto" w:fill="000000"/>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gridSpan w:val="39"/>
          </w:tcPr>
          <w:p>
            <w:pPr>
              <w:ind w:left="460"/>
              <w:spacing w:after="0" w:line="210" w:lineRule="exact"/>
              <w:rPr>
                <w:sz w:val="20"/>
                <w:szCs w:val="20"/>
                <w:color w:val="auto"/>
              </w:rPr>
            </w:pPr>
            <w:r>
              <w:rPr>
                <w:rFonts w:ascii="Times New Roman" w:cs="Times New Roman" w:eastAsia="Times New Roman" w:hAnsi="Times New Roman"/>
                <w:sz w:val="19"/>
                <w:szCs w:val="19"/>
                <w:color w:val="auto"/>
              </w:rPr>
              <w:t>excluding Saturdays, Sundays (other than Saturdays and Sundays on which work is required pursuant to</w:t>
            </w: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national holiday arrangements) and other statutory public holidays.</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1980" w:type="dxa"/>
            <w:vAlign w:val="bottom"/>
            <w:gridSpan w:val="12"/>
          </w:tcPr>
          <w:p>
            <w:pPr>
              <w:spacing w:after="0"/>
              <w:rPr>
                <w:sz w:val="20"/>
                <w:szCs w:val="20"/>
                <w:color w:val="auto"/>
              </w:rPr>
            </w:pPr>
            <w:r>
              <w:rPr>
                <w:rFonts w:ascii="Times New Roman" w:cs="Times New Roman" w:eastAsia="Times New Roman" w:hAnsi="Times New Roman"/>
                <w:sz w:val="19"/>
                <w:szCs w:val="19"/>
                <w:b w:val="1"/>
                <w:bCs w:val="1"/>
                <w:color w:val="auto"/>
              </w:rPr>
              <w:t>Syndicate Member</w:t>
            </w:r>
          </w:p>
        </w:tc>
        <w:tc>
          <w:tcPr>
            <w:tcW w:w="8600" w:type="dxa"/>
            <w:vAlign w:val="bottom"/>
            <w:gridSpan w:val="39"/>
          </w:tcPr>
          <w:p>
            <w:pPr>
              <w:ind w:left="460"/>
              <w:spacing w:after="0"/>
              <w:rPr>
                <w:sz w:val="20"/>
                <w:szCs w:val="20"/>
                <w:color w:val="auto"/>
              </w:rPr>
            </w:pPr>
            <w:r>
              <w:rPr>
                <w:rFonts w:ascii="Times New Roman" w:cs="Times New Roman" w:eastAsia="Times New Roman" w:hAnsi="Times New Roman"/>
                <w:sz w:val="19"/>
                <w:szCs w:val="19"/>
                <w:color w:val="auto"/>
              </w:rPr>
              <w:t xml:space="preserve">means any or all of the </w:t>
            </w:r>
            <w:r>
              <w:rPr>
                <w:rFonts w:ascii="Times New Roman" w:cs="Times New Roman" w:eastAsia="Times New Roman" w:hAnsi="Times New Roman"/>
                <w:sz w:val="19"/>
                <w:szCs w:val="19"/>
                <w:b w:val="1"/>
                <w:bCs w:val="1"/>
                <w:color w:val="auto"/>
              </w:rPr>
              <w:t>Lead Arranger</w:t>
            </w:r>
            <w:r>
              <w:rPr>
                <w:rFonts w:ascii="Times New Roman" w:cs="Times New Roman" w:eastAsia="Times New Roman" w:hAnsi="Times New Roman"/>
                <w:sz w:val="19"/>
                <w:szCs w:val="19"/>
                <w:color w:val="auto"/>
              </w:rPr>
              <w:t xml:space="preserve">, the Co-Lead Arranger, each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 and/or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4"/>
          </w:tcPr>
          <w:p>
            <w:pPr>
              <w:spacing w:after="0"/>
              <w:rPr>
                <w:sz w:val="24"/>
                <w:szCs w:val="24"/>
                <w:color w:val="auto"/>
              </w:rPr>
            </w:pPr>
          </w:p>
        </w:tc>
        <w:tc>
          <w:tcPr>
            <w:tcW w:w="1220" w:type="dxa"/>
            <w:vAlign w:val="bottom"/>
            <w:tcBorders>
              <w:top w:val="single" w:sz="8" w:color="auto"/>
            </w:tcBorders>
            <w:gridSpan w:val="6"/>
          </w:tcPr>
          <w:p>
            <w:pPr>
              <w:spacing w:after="0"/>
              <w:rPr>
                <w:sz w:val="24"/>
                <w:szCs w:val="24"/>
                <w:color w:val="auto"/>
              </w:rPr>
            </w:pPr>
          </w:p>
        </w:tc>
        <w:tc>
          <w:tcPr>
            <w:tcW w:w="2260" w:type="dxa"/>
            <w:vAlign w:val="bottom"/>
            <w:gridSpan w:val="13"/>
          </w:tcPr>
          <w:p>
            <w:pPr>
              <w:spacing w:after="0"/>
              <w:rPr>
                <w:sz w:val="24"/>
                <w:szCs w:val="24"/>
                <w:color w:val="auto"/>
              </w:rPr>
            </w:pPr>
          </w:p>
        </w:tc>
        <w:tc>
          <w:tcPr>
            <w:tcW w:w="580" w:type="dxa"/>
            <w:vAlign w:val="bottom"/>
            <w:tcBorders>
              <w:top w:val="single" w:sz="8" w:color="auto"/>
            </w:tcBorders>
            <w:gridSpan w:val="5"/>
          </w:tcPr>
          <w:p>
            <w:pPr>
              <w:spacing w:after="0"/>
              <w:rPr>
                <w:sz w:val="24"/>
                <w:szCs w:val="24"/>
                <w:color w:val="auto"/>
              </w:rPr>
            </w:pPr>
          </w:p>
        </w:tc>
        <w:tc>
          <w:tcPr>
            <w:tcW w:w="860" w:type="dxa"/>
            <w:vAlign w:val="bottom"/>
            <w:gridSpan w:val="4"/>
          </w:tcPr>
          <w:p>
            <w:pPr>
              <w:spacing w:after="0"/>
              <w:rPr>
                <w:sz w:val="24"/>
                <w:szCs w:val="24"/>
                <w:color w:val="auto"/>
              </w:rPr>
            </w:pPr>
          </w:p>
        </w:tc>
        <w:tc>
          <w:tcPr>
            <w:tcW w:w="480" w:type="dxa"/>
            <w:vAlign w:val="bottom"/>
            <w:tcBorders>
              <w:top w:val="single" w:sz="8" w:color="auto"/>
            </w:tcBorders>
            <w:gridSpan w:val="4"/>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734"/>
        </w:trPr>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74" w:lineRule="exact"/>
        <w:rPr>
          <w:sz w:val="20"/>
          <w:szCs w:val="20"/>
          <w:color w:val="auto"/>
        </w:rPr>
      </w:pPr>
    </w:p>
    <w:p>
      <w:pPr>
        <w:ind w:left="660"/>
        <w:spacing w:after="0"/>
        <w:tabs>
          <w:tab w:leader="none" w:pos="3080" w:val="left"/>
        </w:tabs>
        <w:rPr>
          <w:sz w:val="20"/>
          <w:szCs w:val="20"/>
          <w:color w:val="auto"/>
        </w:rPr>
      </w:pPr>
      <w:r>
        <w:rPr>
          <w:rFonts w:ascii="Times New Roman" w:cs="Times New Roman" w:eastAsia="Times New Roman" w:hAnsi="Times New Roman"/>
          <w:sz w:val="19"/>
          <w:szCs w:val="19"/>
          <w:b w:val="1"/>
          <w:bCs w:val="1"/>
          <w:u w:val="single" w:color="auto"/>
          <w:color w:val="auto"/>
        </w:rPr>
        <w:t>Syndicate Member Account</w:t>
      </w:r>
      <w:r>
        <w:rPr>
          <w:sz w:val="20"/>
          <w:szCs w:val="20"/>
          <w:color w:val="auto"/>
        </w:rPr>
        <w:tab/>
      </w:r>
      <w:r>
        <w:rPr>
          <w:rFonts w:ascii="Times New Roman" w:cs="Times New Roman" w:eastAsia="Times New Roman" w:hAnsi="Times New Roman"/>
          <w:sz w:val="18"/>
          <w:szCs w:val="18"/>
          <w:color w:val="auto"/>
        </w:rPr>
        <w:t xml:space="preserve">means the account of each </w:t>
      </w:r>
      <w:r>
        <w:rPr>
          <w:rFonts w:ascii="Times New Roman" w:cs="Times New Roman" w:eastAsia="Times New Roman" w:hAnsi="Times New Roman"/>
          <w:sz w:val="18"/>
          <w:szCs w:val="18"/>
          <w:b w:val="1"/>
          <w:bCs w:val="1"/>
          <w:u w:val="single" w:color="auto"/>
          <w:color w:val="auto"/>
        </w:rPr>
        <w:t>Syndicate Member</w:t>
      </w:r>
      <w:r>
        <w:rPr>
          <w:rFonts w:ascii="Times New Roman" w:cs="Times New Roman" w:eastAsia="Times New Roman" w:hAnsi="Times New Roman"/>
          <w:sz w:val="18"/>
          <w:szCs w:val="18"/>
          <w:color w:val="auto"/>
        </w:rPr>
        <w:t xml:space="preserve"> specified in Schedule 4 (</w:t>
      </w:r>
      <w:r>
        <w:rPr>
          <w:rFonts w:ascii="Times New Roman" w:cs="Times New Roman" w:eastAsia="Times New Roman" w:hAnsi="Times New Roman"/>
          <w:sz w:val="18"/>
          <w:szCs w:val="18"/>
          <w:i w:val="1"/>
          <w:iCs w:val="1"/>
          <w:color w:val="auto"/>
        </w:rPr>
        <w:t>Accounts of the Parties</w:t>
      </w:r>
      <w:r>
        <w:rPr>
          <w:rFonts w:ascii="Times New Roman" w:cs="Times New Roman" w:eastAsia="Times New Roman" w:hAnsi="Times New Roman"/>
          <w:sz w:val="18"/>
          <w:szCs w:val="18"/>
          <w:color w:val="auto"/>
        </w:rPr>
        <w:t>) hereto.</w:t>
      </w:r>
    </w:p>
    <w:p>
      <w:pPr>
        <w:spacing w:after="0" w:line="214" w:lineRule="exact"/>
        <w:rPr>
          <w:sz w:val="20"/>
          <w:szCs w:val="20"/>
          <w:color w:val="auto"/>
        </w:rPr>
      </w:pPr>
    </w:p>
    <w:p>
      <w:pPr>
        <w:jc w:val="both"/>
        <w:ind w:left="3100" w:right="120" w:hanging="2443"/>
        <w:spacing w:after="0" w:line="270" w:lineRule="auto"/>
        <w:tabs>
          <w:tab w:leader="none" w:pos="3080" w:val="left"/>
        </w:tabs>
        <w:rPr>
          <w:sz w:val="20"/>
          <w:szCs w:val="20"/>
          <w:color w:val="auto"/>
        </w:rPr>
      </w:pPr>
      <w:r>
        <w:rPr>
          <w:rFonts w:ascii="Times New Roman" w:cs="Times New Roman" w:eastAsia="Times New Roman" w:hAnsi="Times New Roman"/>
          <w:sz w:val="19"/>
          <w:szCs w:val="19"/>
          <w:b w:val="1"/>
          <w:bCs w:val="1"/>
          <w:u w:val="single" w:color="auto"/>
          <w:color w:val="auto"/>
        </w:rPr>
        <w:t>Pledge Contract</w:t>
      </w:r>
      <w:r>
        <w:rPr>
          <w:sz w:val="20"/>
          <w:szCs w:val="20"/>
          <w:color w:val="auto"/>
        </w:rPr>
        <w:tab/>
      </w:r>
      <w:r>
        <w:rPr>
          <w:rFonts w:ascii="Times New Roman" w:cs="Times New Roman" w:eastAsia="Times New Roman" w:hAnsi="Times New Roman"/>
          <w:sz w:val="19"/>
          <w:szCs w:val="19"/>
          <w:color w:val="auto"/>
        </w:rPr>
        <w:t xml:space="preserve">means the [Syndicated Loan] Pledge Contract entered into by and between the </w:t>
      </w:r>
      <w:r>
        <w:rPr>
          <w:rFonts w:ascii="Times New Roman" w:cs="Times New Roman" w:eastAsia="Times New Roman" w:hAnsi="Times New Roman"/>
          <w:sz w:val="19"/>
          <w:szCs w:val="19"/>
          <w:b w:val="1"/>
          <w:bCs w:val="1"/>
          <w:u w:val="single" w:color="auto"/>
          <w:color w:val="auto"/>
        </w:rPr>
        <w:t>Pledgor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on [Redacted].</w:t>
      </w:r>
    </w:p>
    <w:p>
      <w:pPr>
        <w:spacing w:after="0" w:line="156" w:lineRule="exact"/>
        <w:rPr>
          <w:sz w:val="20"/>
          <w:szCs w:val="20"/>
          <w:color w:val="auto"/>
        </w:rPr>
      </w:pPr>
    </w:p>
    <w:p>
      <w:pPr>
        <w:jc w:val="both"/>
        <w:ind w:left="3100" w:right="100" w:hanging="2443"/>
        <w:spacing w:after="0" w:line="246" w:lineRule="auto"/>
        <w:tabs>
          <w:tab w:leader="none" w:pos="3080" w:val="left"/>
        </w:tabs>
        <w:rPr>
          <w:sz w:val="20"/>
          <w:szCs w:val="20"/>
          <w:color w:val="auto"/>
        </w:rPr>
      </w:pPr>
      <w:r>
        <w:rPr>
          <w:rFonts w:ascii="Times New Roman" w:cs="Times New Roman" w:eastAsia="Times New Roman" w:hAnsi="Times New Roman"/>
          <w:sz w:val="19"/>
          <w:szCs w:val="19"/>
          <w:b w:val="1"/>
          <w:bCs w:val="1"/>
          <w:u w:val="single" w:color="auto"/>
          <w:color w:val="auto"/>
        </w:rPr>
        <w:t>Material Adverse Effect</w:t>
      </w:r>
      <w:r>
        <w:rPr>
          <w:sz w:val="20"/>
          <w:szCs w:val="20"/>
          <w:color w:val="auto"/>
        </w:rPr>
        <w:tab/>
      </w:r>
      <w:r>
        <w:rPr>
          <w:rFonts w:ascii="Times New Roman" w:cs="Times New Roman" w:eastAsia="Times New Roman" w:hAnsi="Times New Roman"/>
          <w:sz w:val="19"/>
          <w:szCs w:val="19"/>
          <w:color w:val="auto"/>
        </w:rPr>
        <w:t xml:space="preserve">means a material change in the legal position, assets, financial condition or business operations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in the reasonable judgment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has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will have a material adverse effect on the ability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such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to fully perform their respective obligations under any </w:t>
      </w:r>
      <w:r>
        <w:rPr>
          <w:rFonts w:ascii="Times New Roman" w:cs="Times New Roman" w:eastAsia="Times New Roman" w:hAnsi="Times New Roman"/>
          <w:sz w:val="19"/>
          <w:szCs w:val="19"/>
          <w:b w:val="1"/>
          <w:bCs w:val="1"/>
          <w:u w:val="single" w:color="auto"/>
          <w:color w:val="auto"/>
        </w:rPr>
        <w:t>Finance Document</w:t>
      </w:r>
      <w:r>
        <w:rPr>
          <w:rFonts w:ascii="Times New Roman" w:cs="Times New Roman" w:eastAsia="Times New Roman" w:hAnsi="Times New Roman"/>
          <w:sz w:val="19"/>
          <w:szCs w:val="19"/>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China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means the People’s Republic of China, which, for the sole purpose of this Contract, exclude the Hong</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Kong Special Administrative Region, the Macao Special Administrative Region and Taiwan Region.</w:t>
            </w:r>
          </w:p>
        </w:tc>
        <w:tc>
          <w:tcPr>
            <w:tcW w:w="0" w:type="dxa"/>
            <w:vAlign w:val="bottom"/>
          </w:tcPr>
          <w:p>
            <w:pPr>
              <w:spacing w:after="0"/>
              <w:rPr>
                <w:sz w:val="1"/>
                <w:szCs w:val="1"/>
                <w:color w:val="auto"/>
              </w:rPr>
            </w:pPr>
          </w:p>
        </w:tc>
      </w:tr>
      <w:tr>
        <w:trPr>
          <w:trHeight w:val="390"/>
        </w:trPr>
        <w:tc>
          <w:tcPr>
            <w:tcW w:w="660" w:type="dxa"/>
            <w:vAlign w:val="bottom"/>
          </w:tcPr>
          <w:p>
            <w:pPr>
              <w:spacing w:after="0"/>
              <w:rPr>
                <w:sz w:val="24"/>
                <w:szCs w:val="24"/>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Certified</w:t>
            </w:r>
          </w:p>
        </w:tc>
        <w:tc>
          <w:tcPr>
            <w:tcW w:w="8800" w:type="dxa"/>
            <w:vAlign w:val="bottom"/>
            <w:gridSpan w:val="20"/>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Public  </w:t>
            </w:r>
            <w:r>
              <w:rPr>
                <w:rFonts w:ascii="Times New Roman" w:cs="Times New Roman" w:eastAsia="Times New Roman" w:hAnsi="Times New Roman"/>
                <w:sz w:val="19"/>
                <w:szCs w:val="19"/>
                <w:color w:val="auto"/>
              </w:rPr>
              <w:t>means [/], or any other reputable certified public accountant licensed to practice within the territory of</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9"/>
                <w:szCs w:val="19"/>
                <w:b w:val="1"/>
                <w:bCs w:val="1"/>
                <w:color w:val="auto"/>
                <w:w w:val="97"/>
              </w:rPr>
              <w:t>Accountant</w:t>
            </w:r>
          </w:p>
        </w:tc>
        <w:tc>
          <w:tcPr>
            <w:tcW w:w="740" w:type="dxa"/>
            <w:vAlign w:val="bottom"/>
            <w:tcBorders>
              <w:top w:val="single" w:sz="8" w:color="auto"/>
            </w:tcBorders>
            <w:gridSpan w:val="5"/>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40" w:type="dxa"/>
            <w:vAlign w:val="bottom"/>
            <w:gridSpan w:val="18"/>
          </w:tcPr>
          <w:p>
            <w:pPr>
              <w:spacing w:after="0" w:line="196" w:lineRule="exact"/>
              <w:rPr>
                <w:sz w:val="20"/>
                <w:szCs w:val="20"/>
                <w:color w:val="auto"/>
              </w:rPr>
            </w:pPr>
            <w:r>
              <w:rPr>
                <w:rFonts w:ascii="Times New Roman" w:cs="Times New Roman" w:eastAsia="Times New Roman" w:hAnsi="Times New Roman"/>
                <w:sz w:val="19"/>
                <w:szCs w:val="19"/>
                <w:color w:val="auto"/>
              </w:rPr>
              <w:t>China.</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Transfer Certificate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 xml:space="preserve">means a transfer document signed and submitted by the </w:t>
            </w:r>
            <w:r>
              <w:rPr>
                <w:rFonts w:ascii="Times New Roman" w:cs="Times New Roman" w:eastAsia="Times New Roman" w:hAnsi="Times New Roman"/>
                <w:sz w:val="19"/>
                <w:szCs w:val="19"/>
                <w:b w:val="1"/>
                <w:bCs w:val="1"/>
                <w:color w:val="auto"/>
              </w:rPr>
              <w:t>Transferor Bank</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Transferee Bank</w:t>
            </w:r>
            <w:r>
              <w:rPr>
                <w:rFonts w:ascii="Times New Roman" w:cs="Times New Roman" w:eastAsia="Times New Roman" w:hAnsi="Times New Roman"/>
                <w:sz w:val="19"/>
                <w:szCs w:val="19"/>
                <w:color w:val="auto"/>
              </w:rPr>
              <w:t xml:space="preserve"> and the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300" w:type="dxa"/>
            <w:vAlign w:val="bottom"/>
            <w:gridSpan w:val="11"/>
            <w:vMerge w:val="restart"/>
          </w:tcPr>
          <w:p>
            <w:pPr>
              <w:spacing w:after="0" w:line="216" w:lineRule="exact"/>
              <w:rPr>
                <w:sz w:val="20"/>
                <w:szCs w:val="20"/>
                <w:color w:val="auto"/>
              </w:rPr>
            </w:pPr>
            <w:r>
              <w:rPr>
                <w:rFonts w:ascii="Times New Roman" w:cs="Times New Roman" w:eastAsia="Times New Roman" w:hAnsi="Times New Roman"/>
                <w:sz w:val="19"/>
                <w:szCs w:val="19"/>
                <w:b w:val="1"/>
                <w:bCs w:val="1"/>
                <w:color w:val="auto"/>
                <w:w w:val="99"/>
              </w:rPr>
              <w:t>Agent</w:t>
            </w:r>
            <w:r>
              <w:rPr>
                <w:rFonts w:ascii="Times New Roman" w:cs="Times New Roman" w:eastAsia="Times New Roman" w:hAnsi="Times New Roman"/>
                <w:sz w:val="19"/>
                <w:szCs w:val="19"/>
                <w:color w:val="auto"/>
                <w:w w:val="99"/>
              </w:rPr>
              <w:t>, substantially in the form and content of Schedule</w:t>
            </w: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4300" w:type="dxa"/>
            <w:vAlign w:val="bottom"/>
            <w:gridSpan w:val="11"/>
            <w:vMerge w:val="continue"/>
          </w:tcPr>
          <w:p>
            <w:pPr>
              <w:spacing w:after="0"/>
              <w:rPr>
                <w:sz w:val="17"/>
                <w:szCs w:val="17"/>
                <w:color w:val="auto"/>
              </w:rPr>
            </w:pPr>
          </w:p>
        </w:tc>
        <w:tc>
          <w:tcPr>
            <w:tcW w:w="3740" w:type="dxa"/>
            <w:vAlign w:val="bottom"/>
            <w:gridSpan w:val="7"/>
          </w:tcPr>
          <w:p>
            <w:pPr>
              <w:ind w:left="40"/>
              <w:spacing w:after="0" w:line="196" w:lineRule="exact"/>
              <w:rPr>
                <w:sz w:val="20"/>
                <w:szCs w:val="20"/>
                <w:color w:val="auto"/>
              </w:rPr>
            </w:pPr>
            <w:r>
              <w:rPr>
                <w:rFonts w:ascii="Times New Roman" w:cs="Times New Roman" w:eastAsia="Times New Roman" w:hAnsi="Times New Roman"/>
                <w:sz w:val="19"/>
                <w:szCs w:val="19"/>
                <w:color w:val="auto"/>
              </w:rPr>
              <w:t>3 (</w:t>
            </w:r>
            <w:r>
              <w:rPr>
                <w:rFonts w:ascii="Times New Roman" w:cs="Times New Roman" w:eastAsia="Times New Roman" w:hAnsi="Times New Roman"/>
                <w:sz w:val="19"/>
                <w:szCs w:val="19"/>
                <w:i w:val="1"/>
                <w:iCs w:val="1"/>
                <w:color w:val="auto"/>
              </w:rPr>
              <w:t>Form of Transfer Certificate</w:t>
            </w:r>
            <w:r>
              <w:rPr>
                <w:rFonts w:ascii="Times New Roman" w:cs="Times New Roman" w:eastAsia="Times New Roman" w:hAnsi="Times New Roman"/>
                <w:sz w:val="19"/>
                <w:szCs w:val="19"/>
                <w:color w:val="auto"/>
              </w:rPr>
              <w:t>) hereto.</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Total Commitment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 xml:space="preserve">means the sum of the </w:t>
            </w:r>
            <w:r>
              <w:rPr>
                <w:rFonts w:ascii="Times New Roman" w:cs="Times New Roman" w:eastAsia="Times New Roman" w:hAnsi="Times New Roman"/>
                <w:sz w:val="19"/>
                <w:szCs w:val="19"/>
                <w:b w:val="1"/>
                <w:bCs w:val="1"/>
                <w:color w:val="auto"/>
              </w:rPr>
              <w:t>Commitments</w:t>
            </w:r>
            <w:r>
              <w:rPr>
                <w:rFonts w:ascii="Times New Roman" w:cs="Times New Roman" w:eastAsia="Times New Roman" w:hAnsi="Times New Roman"/>
                <w:sz w:val="19"/>
                <w:szCs w:val="19"/>
                <w:color w:val="auto"/>
              </w:rPr>
              <w:t xml:space="preserve"> of all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at a certain point.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Total Facility</w:t>
            </w:r>
          </w:p>
        </w:tc>
        <w:tc>
          <w:tcPr>
            <w:tcW w:w="1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 xml:space="preserve">means the sum of the </w:t>
            </w:r>
            <w:r>
              <w:rPr>
                <w:rFonts w:ascii="Times New Roman" w:cs="Times New Roman" w:eastAsia="Times New Roman" w:hAnsi="Times New Roman"/>
                <w:sz w:val="19"/>
                <w:szCs w:val="19"/>
                <w:b w:val="1"/>
                <w:bCs w:val="1"/>
                <w:color w:val="auto"/>
              </w:rPr>
              <w:t>Total Commitment</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color w:val="auto"/>
              </w:rPr>
              <w:t>Outstanding Loan Balance</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4"/>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9"/>
                <w:szCs w:val="19"/>
                <w:b w:val="1"/>
                <w:bCs w:val="1"/>
                <w:color w:val="auto"/>
              </w:rPr>
              <w:t>Available Facility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8"/>
          </w:tcPr>
          <w:p>
            <w:pPr>
              <w:spacing w:after="0"/>
              <w:rPr>
                <w:sz w:val="20"/>
                <w:szCs w:val="20"/>
                <w:color w:val="auto"/>
              </w:rPr>
            </w:pPr>
            <w:r>
              <w:rPr>
                <w:rFonts w:ascii="Times New Roman" w:cs="Times New Roman" w:eastAsia="Times New Roman" w:hAnsi="Times New Roman"/>
                <w:sz w:val="19"/>
                <w:szCs w:val="19"/>
                <w:color w:val="auto"/>
              </w:rPr>
              <w:t xml:space="preserve">means the </w:t>
            </w:r>
            <w:r>
              <w:rPr>
                <w:rFonts w:ascii="Times New Roman" w:cs="Times New Roman" w:eastAsia="Times New Roman" w:hAnsi="Times New Roman"/>
                <w:sz w:val="19"/>
                <w:szCs w:val="19"/>
                <w:b w:val="1"/>
                <w:bCs w:val="1"/>
                <w:color w:val="auto"/>
              </w:rPr>
              <w:t>Total Commitment</w:t>
            </w:r>
            <w:r>
              <w:rPr>
                <w:rFonts w:ascii="Times New Roman" w:cs="Times New Roman" w:eastAsia="Times New Roman" w:hAnsi="Times New Roman"/>
                <w:sz w:val="19"/>
                <w:szCs w:val="19"/>
                <w:color w:val="auto"/>
              </w:rPr>
              <w:t xml:space="preserve"> minus the sum of (1) the aggregate amount of all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drawn,</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spacing w:after="0" w:line="216" w:lineRule="exact"/>
              <w:rPr>
                <w:sz w:val="20"/>
                <w:szCs w:val="20"/>
                <w:color w:val="auto"/>
              </w:rPr>
            </w:pPr>
            <w:r>
              <w:rPr>
                <w:rFonts w:ascii="Times New Roman" w:cs="Times New Roman" w:eastAsia="Times New Roman" w:hAnsi="Times New Roman"/>
                <w:sz w:val="19"/>
                <w:szCs w:val="19"/>
                <w:color w:val="auto"/>
                <w:w w:val="97"/>
              </w:rPr>
              <w:t>plus (2) the</w:t>
            </w:r>
          </w:p>
        </w:tc>
        <w:tc>
          <w:tcPr>
            <w:tcW w:w="15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180" w:type="dxa"/>
            <w:vAlign w:val="bottom"/>
            <w:gridSpan w:val="16"/>
          </w:tcPr>
          <w:p>
            <w:pPr>
              <w:ind w:left="60"/>
              <w:spacing w:after="0" w:line="196" w:lineRule="exact"/>
              <w:rPr>
                <w:sz w:val="20"/>
                <w:szCs w:val="20"/>
                <w:color w:val="auto"/>
              </w:rPr>
            </w:pPr>
            <w:r>
              <w:rPr>
                <w:rFonts w:ascii="Times New Roman" w:cs="Times New Roman" w:eastAsia="Times New Roman" w:hAnsi="Times New Roman"/>
                <w:sz w:val="19"/>
                <w:szCs w:val="19"/>
                <w:color w:val="auto"/>
                <w:w w:val="99"/>
              </w:rPr>
              <w:t xml:space="preserve">aggregate amount of all </w:t>
            </w:r>
            <w:r>
              <w:rPr>
                <w:rFonts w:ascii="Times New Roman" w:cs="Times New Roman" w:eastAsia="Times New Roman" w:hAnsi="Times New Roman"/>
                <w:sz w:val="19"/>
                <w:szCs w:val="19"/>
                <w:b w:val="1"/>
                <w:bCs w:val="1"/>
                <w:color w:val="auto"/>
                <w:w w:val="99"/>
              </w:rPr>
              <w:t>Loan Funds</w:t>
            </w:r>
            <w:r>
              <w:rPr>
                <w:rFonts w:ascii="Times New Roman" w:cs="Times New Roman" w:eastAsia="Times New Roman" w:hAnsi="Times New Roman"/>
                <w:sz w:val="19"/>
                <w:szCs w:val="19"/>
                <w:color w:val="auto"/>
                <w:w w:val="99"/>
              </w:rPr>
              <w:t xml:space="preserve"> to be drawn as specified in an issued Drawdown Notice.</w:t>
            </w:r>
          </w:p>
        </w:tc>
        <w:tc>
          <w:tcPr>
            <w:tcW w:w="0" w:type="dxa"/>
            <w:vAlign w:val="bottom"/>
          </w:tcPr>
          <w:p>
            <w:pPr>
              <w:spacing w:after="0"/>
              <w:rPr>
                <w:sz w:val="1"/>
                <w:szCs w:val="1"/>
                <w:color w:val="auto"/>
              </w:rPr>
            </w:pPr>
          </w:p>
        </w:tc>
      </w:tr>
      <w:tr>
        <w:trPr>
          <w:trHeight w:val="563"/>
        </w:trPr>
        <w:tc>
          <w:tcPr>
            <w:tcW w:w="2340" w:type="dxa"/>
            <w:vAlign w:val="bottom"/>
            <w:gridSpan w:val="8"/>
          </w:tcPr>
          <w:p>
            <w:pPr>
              <w:spacing w:after="0"/>
              <w:rPr>
                <w:sz w:val="20"/>
                <w:szCs w:val="20"/>
                <w:color w:val="auto"/>
              </w:rPr>
            </w:pPr>
            <w:r>
              <w:rPr>
                <w:rFonts w:ascii="Times New Roman" w:cs="Times New Roman" w:eastAsia="Times New Roman" w:hAnsi="Times New Roman"/>
                <w:sz w:val="19"/>
                <w:szCs w:val="19"/>
                <w:b w:val="1"/>
                <w:bCs w:val="1"/>
                <w:color w:val="auto"/>
              </w:rPr>
              <w:t>1.2  Rules of Interpretation</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40" w:type="dxa"/>
            <w:vAlign w:val="bottom"/>
            <w:gridSpan w:val="8"/>
          </w:tcPr>
          <w:p>
            <w:pPr>
              <w:ind w:left="460"/>
              <w:spacing w:after="0"/>
              <w:rPr>
                <w:sz w:val="20"/>
                <w:szCs w:val="20"/>
                <w:color w:val="auto"/>
              </w:rPr>
            </w:pPr>
            <w:r>
              <w:rPr>
                <w:rFonts w:ascii="Times New Roman" w:cs="Times New Roman" w:eastAsia="Times New Roman" w:hAnsi="Times New Roman"/>
                <w:sz w:val="19"/>
                <w:szCs w:val="19"/>
                <w:color w:val="auto"/>
              </w:rPr>
              <w:t>In this Contract: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hanging="189"/>
        <w:spacing w:after="0"/>
        <w:tabs>
          <w:tab w:leader="none" w:pos="64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table of contents and headings are inserted for reference only, and shall be disregarded in interpreting the terms of this Contract.</w:t>
      </w:r>
    </w:p>
    <w:p>
      <w:pPr>
        <w:spacing w:after="0" w:line="213" w:lineRule="exact"/>
        <w:rPr>
          <w:rFonts w:ascii="Times New Roman" w:cs="Times New Roman" w:eastAsia="Times New Roman" w:hAnsi="Times New Roman"/>
          <w:sz w:val="19"/>
          <w:szCs w:val="19"/>
          <w:color w:val="auto"/>
        </w:rPr>
      </w:pPr>
    </w:p>
    <w:p>
      <w:pPr>
        <w:ind w:right="60" w:firstLine="451"/>
        <w:spacing w:after="0" w:line="265" w:lineRule="auto"/>
        <w:tabs>
          <w:tab w:leader="none" w:pos="648"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“assets” shall be construed to include all present and future tangible and intangible assets, property, income, earnings, accounts receivable and other rights and interests of every kind.</w:t>
      </w:r>
    </w:p>
    <w:p>
      <w:pPr>
        <w:spacing w:after="0" w:line="165" w:lineRule="exact"/>
        <w:rPr>
          <w:rFonts w:ascii="Times New Roman" w:cs="Times New Roman" w:eastAsia="Times New Roman" w:hAnsi="Times New Roman"/>
          <w:sz w:val="19"/>
          <w:szCs w:val="19"/>
          <w:color w:val="auto"/>
        </w:rPr>
      </w:pPr>
    </w:p>
    <w:p>
      <w:pPr>
        <w:ind w:right="60" w:firstLine="451"/>
        <w:spacing w:after="0" w:line="265" w:lineRule="auto"/>
        <w:tabs>
          <w:tab w:leader="none" w:pos="66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 “person” shall be construed to include any natural person, company, partnership, enterprise or any other legal or unincorporated organization or entity.</w:t>
      </w:r>
    </w:p>
    <w:p>
      <w:pPr>
        <w:spacing w:after="0" w:line="161" w:lineRule="exact"/>
        <w:rPr>
          <w:rFonts w:ascii="Times New Roman" w:cs="Times New Roman" w:eastAsia="Times New Roman" w:hAnsi="Times New Roman"/>
          <w:sz w:val="19"/>
          <w:szCs w:val="19"/>
          <w:color w:val="auto"/>
        </w:rPr>
      </w:pPr>
    </w:p>
    <w:p>
      <w:pPr>
        <w:ind w:right="40" w:firstLine="451"/>
        <w:spacing w:after="0" w:line="270" w:lineRule="auto"/>
        <w:tabs>
          <w:tab w:leader="none" w:pos="639"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“continues” means it has occurred and is not removed, cured in full or waived in accordance with the terms of this Contract.</w:t>
      </w:r>
    </w:p>
    <w:p>
      <w:pPr>
        <w:spacing w:after="0" w:line="160" w:lineRule="exact"/>
        <w:rPr>
          <w:rFonts w:ascii="Times New Roman" w:cs="Times New Roman" w:eastAsia="Times New Roman" w:hAnsi="Times New Roman"/>
          <w:sz w:val="19"/>
          <w:szCs w:val="19"/>
          <w:color w:val="auto"/>
        </w:rPr>
      </w:pPr>
    </w:p>
    <w:p>
      <w:pPr>
        <w:ind w:right="40" w:firstLine="451"/>
        <w:spacing w:after="0" w:line="265" w:lineRule="auto"/>
        <w:tabs>
          <w:tab w:leader="none" w:pos="636"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 “month” means a period commencing on a certain day of a calendar month and ending on the corresponding day of the following calendar month; provided that if there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no such corresponding day in the following calendar month, such period shall end on the last day of such following calendar month.</w:t>
      </w:r>
    </w:p>
    <w:p>
      <w:pPr>
        <w:spacing w:after="0" w:line="214" w:lineRule="exact"/>
        <w:rPr>
          <w:sz w:val="20"/>
          <w:szCs w:val="20"/>
          <w:color w:val="auto"/>
        </w:rPr>
      </w:pPr>
    </w:p>
    <w:p>
      <w:pPr>
        <w:jc w:val="both"/>
        <w:ind w:right="40" w:firstLine="451"/>
        <w:spacing w:after="0" w:line="246" w:lineRule="auto"/>
        <w:tabs>
          <w:tab w:leader="none" w:pos="656"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any person being “closed down”, “dissolved”, “liquidated”, “bankrupt”, “reorganized”, “compromised” or “rectified” shall be construed to include any equivalent or similar legal proceeding under the laws of its place of incorporation or place of business, and “entering into” such proceedings includes the initiation of such proceedings by such person itself through a resolution, or against such person by any other person.</w:t>
      </w:r>
    </w:p>
    <w:p>
      <w:pPr>
        <w:spacing w:after="0" w:line="184"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a Party hereto or any other person shall also include its legal successors and assigns.</w:t>
      </w:r>
    </w:p>
    <w:p>
      <w:pPr>
        <w:spacing w:after="0" w:line="213" w:lineRule="exact"/>
        <w:rPr>
          <w:rFonts w:ascii="Times New Roman" w:cs="Times New Roman" w:eastAsia="Times New Roman" w:hAnsi="Times New Roman"/>
          <w:sz w:val="19"/>
          <w:szCs w:val="19"/>
          <w:color w:val="auto"/>
        </w:rPr>
      </w:pPr>
    </w:p>
    <w:p>
      <w:pPr>
        <w:ind w:right="60" w:firstLine="451"/>
        <w:spacing w:after="0" w:line="265" w:lineRule="auto"/>
        <w:tabs>
          <w:tab w:leader="none" w:pos="648"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to this Contract or any other agreement or document shall be construed to include such agreement or document itself, as well as any amendments, modifications, substitutions or supplements hereto and thereto made in accordance with their respective terms.</w:t>
      </w:r>
    </w:p>
    <w:p>
      <w:pPr>
        <w:spacing w:after="0" w:line="161"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Loan Amount</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agree to make available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subject to the terms and conditions of this Contract, an M&amp;A loan facility with an aggregate principal amount not exceeding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[600,000,000.00] (In words: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[Six Hundred Million] Only).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Original Commitment</w:t>
      </w:r>
      <w:r>
        <w:rPr>
          <w:rFonts w:ascii="Times New Roman" w:cs="Times New Roman" w:eastAsia="Times New Roman" w:hAnsi="Times New Roman"/>
          <w:sz w:val="19"/>
          <w:szCs w:val="19"/>
          <w:color w:val="auto"/>
        </w:rPr>
        <w:t xml:space="preserve"> of each </w:t>
      </w:r>
      <w:r>
        <w:rPr>
          <w:rFonts w:ascii="Times New Roman" w:cs="Times New Roman" w:eastAsia="Times New Roman" w:hAnsi="Times New Roman"/>
          <w:sz w:val="19"/>
          <w:szCs w:val="19"/>
          <w:b w:val="1"/>
          <w:bCs w:val="1"/>
          <w:u w:val="single" w:color="auto"/>
          <w:color w:val="auto"/>
        </w:rPr>
        <w:t>Original Lender</w:t>
      </w:r>
      <w:r>
        <w:rPr>
          <w:rFonts w:ascii="Times New Roman" w:cs="Times New Roman" w:eastAsia="Times New Roman" w:hAnsi="Times New Roman"/>
          <w:sz w:val="19"/>
          <w:szCs w:val="19"/>
          <w:color w:val="auto"/>
        </w:rPr>
        <w:t xml:space="preserve"> is set forth in Schedule 1 (</w:t>
      </w:r>
      <w:r>
        <w:rPr>
          <w:rFonts w:ascii="Times New Roman" w:cs="Times New Roman" w:eastAsia="Times New Roman" w:hAnsi="Times New Roman"/>
          <w:sz w:val="19"/>
          <w:szCs w:val="19"/>
          <w:i w:val="1"/>
          <w:iCs w:val="1"/>
          <w:color w:val="auto"/>
        </w:rPr>
        <w:t>Original Commitments of Lenders</w:t>
      </w:r>
      <w:r>
        <w:rPr>
          <w:rFonts w:ascii="Times New Roman" w:cs="Times New Roman" w:eastAsia="Times New Roman" w:hAnsi="Times New Roman"/>
          <w:sz w:val="19"/>
          <w:szCs w:val="19"/>
          <w:color w:val="auto"/>
        </w:rPr>
        <w:t>) hereto.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III. Purpose of the Loan</w:t>
      </w:r>
    </w:p>
    <w:p>
      <w:pPr>
        <w:spacing w:after="0" w:line="214" w:lineRule="exact"/>
        <w:rPr>
          <w:sz w:val="20"/>
          <w:szCs w:val="20"/>
          <w:color w:val="auto"/>
        </w:rPr>
      </w:pPr>
    </w:p>
    <w:p>
      <w:pPr>
        <w:jc w:val="both"/>
        <w:ind w:right="60" w:firstLine="443"/>
        <w:spacing w:after="0" w:line="248"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apply each amount of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towards payment of the M&amp;A consideration or expenses payable in respect of the M&amp;A Transaction/</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color w:val="auto"/>
        </w:rPr>
        <w:t>, and may also be used to repay related-party loans previously invested in the M&amp;A Transaction/</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color w:val="auto"/>
        </w:rPr>
        <w:t>, as further detailed in Schedule 5 (</w:t>
      </w:r>
      <w:r>
        <w:rPr>
          <w:rFonts w:ascii="Times New Roman" w:cs="Times New Roman" w:eastAsia="Times New Roman" w:hAnsi="Times New Roman"/>
          <w:sz w:val="19"/>
          <w:szCs w:val="19"/>
          <w:i w:val="1"/>
          <w:iCs w:val="1"/>
          <w:color w:val="auto"/>
        </w:rPr>
        <w:t>Basic Information of the M&amp;A Transaction and the M&amp;A Loan</w:t>
      </w:r>
      <w:r>
        <w:rPr>
          <w:rFonts w:ascii="Times New Roman" w:cs="Times New Roman" w:eastAsia="Times New Roman" w:hAnsi="Times New Roman"/>
          <w:sz w:val="19"/>
          <w:szCs w:val="19"/>
          <w:color w:val="auto"/>
        </w:rPr>
        <w:t xml:space="preserve">); provided that the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shall comply with applicable national laws, regulations, policies and the relevant internal rules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use each amount of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only for the purpose specified herein and shall not use the Loan Funds for any other purpose.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in any manner use the Loan Funds for investments such as shareholder dividends, financial assets, fixed assets, or equity investments other than the M&amp;A herein, nor for any fields or purposes prohibited by the State for production or operation, or any other purposes inconsistent with laws, regulations, relevant national policies and the provisions and requirements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Notwithstanding the provisions of Paragraph 5, Article 4.3 and Paragraph 10, Article 15.1 (</w:t>
      </w:r>
      <w:r>
        <w:rPr>
          <w:rFonts w:ascii="Times New Roman" w:cs="Times New Roman" w:eastAsia="Times New Roman" w:hAnsi="Times New Roman"/>
          <w:sz w:val="19"/>
          <w:szCs w:val="19"/>
          <w:i w:val="1"/>
          <w:iCs w:val="1"/>
          <w:color w:val="auto"/>
        </w:rPr>
        <w:t>Positive Covenants</w:t>
      </w:r>
      <w:r>
        <w:rPr>
          <w:rFonts w:ascii="Times New Roman" w:cs="Times New Roman" w:eastAsia="Times New Roman" w:hAnsi="Times New Roman"/>
          <w:sz w:val="19"/>
          <w:szCs w:val="19"/>
          <w:color w:val="auto"/>
        </w:rPr>
        <w:t xml:space="preserve">) hereof, none of the </w:t>
      </w:r>
      <w:r>
        <w:rPr>
          <w:rFonts w:ascii="Times New Roman" w:cs="Times New Roman" w:eastAsia="Times New Roman" w:hAnsi="Times New Roman"/>
          <w:sz w:val="19"/>
          <w:szCs w:val="19"/>
          <w:b w:val="1"/>
          <w:bCs w:val="1"/>
          <w:u w:val="single" w:color="auto"/>
          <w:color w:val="auto"/>
        </w:rPr>
        <w:t>Syndicate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Members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liable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respect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actual use of each disbursement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have the right to monitor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hereunder; and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hereby authorize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monitor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hereunder.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actively cooperate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such monitoring work as required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IV. Drawdown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4.1  Drawdown</w:t>
      </w:r>
    </w:p>
    <w:p>
      <w:pPr>
        <w:spacing w:after="0" w:line="218" w:lineRule="exact"/>
        <w:rPr>
          <w:sz w:val="20"/>
          <w:szCs w:val="20"/>
          <w:color w:val="auto"/>
        </w:rPr>
      </w:pPr>
    </w:p>
    <w:p>
      <w:pPr>
        <w:ind w:right="60" w:firstLine="451"/>
        <w:spacing w:after="0" w:line="265" w:lineRule="auto"/>
        <w:tabs>
          <w:tab w:leader="none" w:pos="645"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draw down the loan in accordance with the progress of the M&amp;A Transaction, provided that all drawdowns must be made no later than [December 31, 2025] (inclusive) (the “</w:t>
      </w:r>
      <w:r>
        <w:rPr>
          <w:rFonts w:ascii="Times New Roman" w:cs="Times New Roman" w:eastAsia="Times New Roman" w:hAnsi="Times New Roman"/>
          <w:sz w:val="19"/>
          <w:szCs w:val="19"/>
          <w:b w:val="1"/>
          <w:bCs w:val="1"/>
          <w:u w:val="single" w:color="auto"/>
          <w:color w:val="auto"/>
        </w:rPr>
        <w:t>Drawdown Period</w:t>
      </w:r>
      <w:r>
        <w:rPr>
          <w:rFonts w:ascii="Times New Roman" w:cs="Times New Roman" w:eastAsia="Times New Roman" w:hAnsi="Times New Roman"/>
          <w:sz w:val="19"/>
          <w:szCs w:val="19"/>
          <w:color w:val="auto"/>
        </w:rPr>
        <w:t xml:space="preserve">”), calculated from the </w:t>
      </w:r>
      <w:r>
        <w:rPr>
          <w:rFonts w:ascii="Times New Roman" w:cs="Times New Roman" w:eastAsia="Times New Roman" w:hAnsi="Times New Roman"/>
          <w:sz w:val="19"/>
          <w:szCs w:val="19"/>
          <w:b w:val="1"/>
          <w:bCs w:val="1"/>
          <w:u w:val="single" w:color="auto"/>
          <w:color w:val="auto"/>
        </w:rPr>
        <w:t>date of the First Drawdown</w:t>
      </w:r>
      <w:r>
        <w:rPr>
          <w:rFonts w:ascii="Times New Roman" w:cs="Times New Roman" w:eastAsia="Times New Roman" w:hAnsi="Times New Roman"/>
          <w:sz w:val="19"/>
          <w:szCs w:val="19"/>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 xml:space="preserve">Borrower may draw down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in multiple installments in accordance with the provisions of this Contract during the </w:t>
      </w:r>
      <w:r>
        <w:rPr>
          <w:rFonts w:ascii="Times New Roman" w:cs="Times New Roman" w:eastAsia="Times New Roman" w:hAnsi="Times New Roman"/>
          <w:sz w:val="19"/>
          <w:szCs w:val="19"/>
          <w:b w:val="1"/>
          <w:bCs w:val="1"/>
          <w:u w:val="single" w:color="auto"/>
          <w:color w:val="auto"/>
        </w:rPr>
        <w:t>Drawdown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Period</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right="60" w:firstLine="451"/>
        <w:spacing w:after="0" w:line="270" w:lineRule="auto"/>
        <w:tabs>
          <w:tab w:leader="none" w:pos="641"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intends to draw down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it shall send a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accordance with Article 4.1 (</w:t>
      </w:r>
      <w:r>
        <w:rPr>
          <w:rFonts w:ascii="Times New Roman" w:cs="Times New Roman" w:eastAsia="Times New Roman" w:hAnsi="Times New Roman"/>
          <w:sz w:val="19"/>
          <w:szCs w:val="19"/>
          <w:i w:val="1"/>
          <w:iCs w:val="1"/>
          <w:color w:val="auto"/>
        </w:rPr>
        <w:t>Drawdown Notice</w:t>
      </w:r>
      <w:r>
        <w:rPr>
          <w:rFonts w:ascii="Times New Roman" w:cs="Times New Roman" w:eastAsia="Times New Roman" w:hAnsi="Times New Roman"/>
          <w:sz w:val="19"/>
          <w:szCs w:val="19"/>
          <w:color w:val="auto"/>
        </w:rPr>
        <w:t>) hereof.</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65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complete each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in full (in the form and content substantially as shown in Schedule 6 (</w:t>
      </w:r>
      <w:r>
        <w:rPr>
          <w:rFonts w:ascii="Times New Roman" w:cs="Times New Roman" w:eastAsia="Times New Roman" w:hAnsi="Times New Roman"/>
          <w:sz w:val="19"/>
          <w:szCs w:val="19"/>
          <w:i w:val="1"/>
          <w:iCs w:val="1"/>
          <w:color w:val="auto"/>
        </w:rPr>
        <w:t>Form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Drawdown Notice</w:t>
      </w:r>
      <w:r>
        <w:rPr>
          <w:rFonts w:ascii="Times New Roman" w:cs="Times New Roman" w:eastAsia="Times New Roman" w:hAnsi="Times New Roman"/>
          <w:sz w:val="19"/>
          <w:szCs w:val="19"/>
          <w:color w:val="auto"/>
        </w:rPr>
        <w:t>) hereto), which shall be signed and sealed by the legal or authorized representative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upon completion.</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scheduled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xml:space="preserve"> stated in each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shall be a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falling within the </w:t>
      </w:r>
      <w:r>
        <w:rPr>
          <w:rFonts w:ascii="Times New Roman" w:cs="Times New Roman" w:eastAsia="Times New Roman" w:hAnsi="Times New Roman"/>
          <w:sz w:val="19"/>
          <w:szCs w:val="19"/>
          <w:b w:val="1"/>
          <w:bCs w:val="1"/>
          <w:u w:val="single" w:color="auto"/>
          <w:color w:val="auto"/>
        </w:rPr>
        <w:t>Drawdown Period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638"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 be drawn under each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shall not exceed the </w:t>
      </w:r>
      <w:r>
        <w:rPr>
          <w:rFonts w:ascii="Times New Roman" w:cs="Times New Roman" w:eastAsia="Times New Roman" w:hAnsi="Times New Roman"/>
          <w:sz w:val="19"/>
          <w:szCs w:val="19"/>
          <w:b w:val="1"/>
          <w:bCs w:val="1"/>
          <w:u w:val="single" w:color="auto"/>
          <w:color w:val="auto"/>
        </w:rPr>
        <w:t>Available Facility</w:t>
      </w:r>
      <w:r>
        <w:rPr>
          <w:rFonts w:ascii="Times New Roman" w:cs="Times New Roman" w:eastAsia="Times New Roman" w:hAnsi="Times New Roman"/>
          <w:sz w:val="19"/>
          <w:szCs w:val="19"/>
          <w:color w:val="auto"/>
        </w:rPr>
        <w:t xml:space="preserve"> as of the date of such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may not revoke any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once submitted.</w:t>
      </w:r>
    </w:p>
    <w:p>
      <w:pPr>
        <w:spacing w:after="0" w:line="213" w:lineRule="exact"/>
        <w:rPr>
          <w:rFonts w:ascii="Times New Roman" w:cs="Times New Roman" w:eastAsia="Times New Roman" w:hAnsi="Times New Roman"/>
          <w:sz w:val="19"/>
          <w:szCs w:val="19"/>
          <w:color w:val="auto"/>
        </w:rPr>
      </w:pPr>
    </w:p>
    <w:p>
      <w:pPr>
        <w:ind w:right="60" w:firstLine="451"/>
        <w:spacing w:after="0" w:line="298" w:lineRule="auto"/>
        <w:tabs>
          <w:tab w:leader="none" w:pos="63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written application of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xml:space="preserve"> and the consent of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xml:space="preserve"> (acting on the decision of all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Drawdown Period</w:t>
      </w:r>
      <w:r>
        <w:rPr>
          <w:rFonts w:ascii="Times New Roman" w:cs="Times New Roman" w:eastAsia="Times New Roman" w:hAnsi="Times New Roman"/>
          <w:sz w:val="18"/>
          <w:szCs w:val="18"/>
          <w:color w:val="auto"/>
        </w:rPr>
        <w:t xml:space="preserve"> may be extended, and the specific extension period shall be determined by the Agent and the Borrower through a supplementary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4.2  Conditions to the First Drawdown</w:t>
      </w:r>
    </w:p>
    <w:p>
      <w:pPr>
        <w:spacing w:after="0" w:line="214" w:lineRule="exact"/>
        <w:rPr>
          <w:sz w:val="20"/>
          <w:szCs w:val="20"/>
          <w:color w:val="auto"/>
        </w:rPr>
      </w:pPr>
    </w:p>
    <w:p>
      <w:pPr>
        <w:ind w:left="640" w:hanging="189"/>
        <w:spacing w:after="0"/>
        <w:tabs>
          <w:tab w:leader="none" w:pos="64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Prior to the submission of the first </w:t>
      </w:r>
      <w:r>
        <w:rPr>
          <w:rFonts w:ascii="Times New Roman" w:cs="Times New Roman" w:eastAsia="Times New Roman" w:hAnsi="Times New Roman"/>
          <w:sz w:val="19"/>
          <w:szCs w:val="19"/>
          <w:b w:val="1"/>
          <w:bCs w:val="1"/>
          <w:u w:val="single" w:color="auto"/>
          <w:color w:val="auto"/>
        </w:rPr>
        <w:t>Drawdown Notice</w:t>
      </w:r>
      <w:r>
        <w:rPr>
          <w:rFonts w:ascii="Times New Roman" w:cs="Times New Roman" w:eastAsia="Times New Roman" w:hAnsi="Times New Roman"/>
          <w:sz w:val="19"/>
          <w:szCs w:val="19"/>
          <w:color w:val="auto"/>
        </w:rPr>
        <w:t xml:space="preserve">, the Borrower shall submit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following documents:</w:t>
      </w:r>
    </w:p>
    <w:p>
      <w:pPr>
        <w:spacing w:after="0" w:line="321" w:lineRule="exact"/>
        <w:rPr>
          <w:rFonts w:ascii="Times New Roman" w:cs="Times New Roman" w:eastAsia="Times New Roman" w:hAnsi="Times New Roman"/>
          <w:sz w:val="19"/>
          <w:szCs w:val="19"/>
          <w:color w:val="auto"/>
        </w:rPr>
      </w:pPr>
    </w:p>
    <w:p>
      <w:pPr>
        <w:ind w:left="1320" w:hanging="660"/>
        <w:spacing w:after="0"/>
        <w:tabs>
          <w:tab w:leader="none" w:pos="132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Original copies of each duly signed and effective </w:t>
      </w:r>
      <w:r>
        <w:rPr>
          <w:rFonts w:ascii="Times New Roman" w:cs="Times New Roman" w:eastAsia="Times New Roman" w:hAnsi="Times New Roman"/>
          <w:sz w:val="19"/>
          <w:szCs w:val="19"/>
          <w:b w:val="1"/>
          <w:bCs w:val="1"/>
          <w:u w:val="single" w:color="auto"/>
          <w:color w:val="auto"/>
        </w:rPr>
        <w:t>Finance Document</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left="1320" w:right="120" w:hanging="660"/>
        <w:spacing w:after="0" w:line="253" w:lineRule="auto"/>
        <w:tabs>
          <w:tab w:leader="none" w:pos="132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 </w:t>
      </w:r>
      <w:r>
        <w:rPr>
          <w:rFonts w:ascii="Times New Roman" w:cs="Times New Roman" w:eastAsia="Times New Roman" w:hAnsi="Times New Roman"/>
          <w:sz w:val="19"/>
          <w:szCs w:val="19"/>
          <w:b w:val="1"/>
          <w:bCs w:val="1"/>
          <w:u w:val="single" w:color="auto"/>
          <w:color w:val="auto"/>
        </w:rPr>
        <w:t>Document Confirmation</w:t>
      </w:r>
      <w:r>
        <w:rPr>
          <w:rFonts w:ascii="Times New Roman" w:cs="Times New Roman" w:eastAsia="Times New Roman" w:hAnsi="Times New Roman"/>
          <w:sz w:val="19"/>
          <w:szCs w:val="19"/>
          <w:color w:val="auto"/>
        </w:rPr>
        <w:t xml:space="preserve"> signed by the legal or authorized representative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together with original or duplicate copies of the following documents (in the case of duplicate copies, they shall be stamped with the official seal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where applicable, the relevant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w:t>
      </w:r>
    </w:p>
    <w:p>
      <w:pPr>
        <w:spacing w:after="0" w:line="65" w:lineRule="exact"/>
        <w:rPr>
          <w:rFonts w:ascii="Times New Roman" w:cs="Times New Roman" w:eastAsia="Times New Roman" w:hAnsi="Times New Roman"/>
          <w:sz w:val="19"/>
          <w:szCs w:val="19"/>
          <w:color w:val="auto"/>
        </w:rPr>
      </w:pPr>
    </w:p>
    <w:p>
      <w:pPr>
        <w:ind w:left="1320" w:right="120"/>
        <w:spacing w:after="0" w:line="27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latest business licenses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issued by the </w:t>
      </w:r>
      <w:r>
        <w:rPr>
          <w:rFonts w:ascii="Times New Roman" w:cs="Times New Roman" w:eastAsia="Times New Roman" w:hAnsi="Times New Roman"/>
          <w:sz w:val="19"/>
          <w:szCs w:val="19"/>
          <w:b w:val="1"/>
          <w:bCs w:val="1"/>
          <w:u w:val="single" w:color="auto"/>
          <w:color w:val="auto"/>
        </w:rPr>
        <w:t>SAMR</w:t>
      </w:r>
      <w:r>
        <w:rPr>
          <w:rFonts w:ascii="Times New Roman" w:cs="Times New Roman" w:eastAsia="Times New Roman" w:hAnsi="Times New Roman"/>
          <w:sz w:val="19"/>
          <w:szCs w:val="19"/>
          <w:color w:val="auto"/>
        </w:rPr>
        <w:t xml:space="preserve"> bearing the unified social credit code.</w:t>
      </w:r>
    </w:p>
    <w:p>
      <w:pPr>
        <w:spacing w:after="0" w:line="48" w:lineRule="exact"/>
        <w:rPr>
          <w:rFonts w:ascii="Times New Roman" w:cs="Times New Roman" w:eastAsia="Times New Roman" w:hAnsi="Times New Roman"/>
          <w:sz w:val="19"/>
          <w:szCs w:val="19"/>
          <w:color w:val="auto"/>
        </w:rPr>
      </w:pPr>
    </w:p>
    <w:p>
      <w:pPr>
        <w:ind w:left="1320" w:right="120"/>
        <w:spacing w:after="0" w:line="27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latest articles of association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(including all previous supplements and amendments thereto).</w:t>
      </w:r>
    </w:p>
    <w:p>
      <w:pPr>
        <w:spacing w:after="0" w:line="52" w:lineRule="exact"/>
        <w:rPr>
          <w:rFonts w:ascii="Times New Roman" w:cs="Times New Roman" w:eastAsia="Times New Roman" w:hAnsi="Times New Roman"/>
          <w:sz w:val="19"/>
          <w:szCs w:val="19"/>
          <w:color w:val="auto"/>
        </w:rPr>
      </w:pPr>
    </w:p>
    <w:p>
      <w:pPr>
        <w:ind w:left="1320" w:right="120"/>
        <w:spacing w:after="0" w:line="26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Specimen signatures of the current [shareholders/directors] of the [Shareholders’ Meeting/Board of Directors]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w:t>
      </w:r>
    </w:p>
    <w:p>
      <w:pPr>
        <w:spacing w:after="0" w:line="53" w:lineRule="exact"/>
        <w:rPr>
          <w:rFonts w:ascii="Times New Roman" w:cs="Times New Roman" w:eastAsia="Times New Roman" w:hAnsi="Times New Roman"/>
          <w:sz w:val="19"/>
          <w:szCs w:val="19"/>
          <w:color w:val="auto"/>
        </w:rPr>
      </w:pPr>
    </w:p>
    <w:p>
      <w:pPr>
        <w:ind w:left="1320" w:right="2820"/>
        <w:spacing w:after="0" w:line="37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 xml:space="preserve">Identity documents of the legal representatives of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xml:space="preserve"> and each </w:t>
      </w:r>
      <w:r>
        <w:rPr>
          <w:rFonts w:ascii="Times New Roman" w:cs="Times New Roman" w:eastAsia="Times New Roman" w:hAnsi="Times New Roman"/>
          <w:sz w:val="18"/>
          <w:szCs w:val="18"/>
          <w:b w:val="1"/>
          <w:bCs w:val="1"/>
          <w:u w:val="single" w:color="auto"/>
          <w:color w:val="auto"/>
        </w:rPr>
        <w:t>Security Provider</w:t>
      </w:r>
      <w:r>
        <w:rPr>
          <w:rFonts w:ascii="Times New Roman" w:cs="Times New Roman" w:eastAsia="Times New Roman" w:hAnsi="Times New Roman"/>
          <w:sz w:val="18"/>
          <w:szCs w:val="18"/>
          <w:color w:val="auto"/>
        </w:rPr>
        <w:t xml:space="preserve">. The financing resolution adopted by the [Shareholders’ Meeting] of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9"/>
          <w:szCs w:val="19"/>
          <w:color w:val="auto"/>
        </w:rPr>
      </w:pPr>
    </w:p>
    <w:p>
      <w:pPr>
        <w:ind w:left="1320" w:right="1520"/>
        <w:spacing w:after="0" w:line="3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security resolution adopted by the [Shareholders’ Meeting/Board of Directors] of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Such other documents as required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49" w:lineRule="exact"/>
        <w:rPr>
          <w:rFonts w:ascii="Times New Roman" w:cs="Times New Roman" w:eastAsia="Times New Roman" w:hAnsi="Times New Roman"/>
          <w:sz w:val="19"/>
          <w:szCs w:val="19"/>
          <w:color w:val="auto"/>
        </w:rPr>
      </w:pPr>
    </w:p>
    <w:p>
      <w:pPr>
        <w:ind w:left="1320" w:hanging="660"/>
        <w:spacing w:after="0"/>
        <w:tabs>
          <w:tab w:leader="none" w:pos="132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Original evidence that the security under each </w:t>
      </w:r>
      <w:r>
        <w:rPr>
          <w:rFonts w:ascii="Times New Roman" w:cs="Times New Roman" w:eastAsia="Times New Roman" w:hAnsi="Times New Roman"/>
          <w:sz w:val="19"/>
          <w:szCs w:val="19"/>
          <w:b w:val="1"/>
          <w:bCs w:val="1"/>
          <w:u w:val="single" w:color="auto"/>
          <w:color w:val="auto"/>
        </w:rPr>
        <w:t>Security Documents</w:t>
      </w:r>
      <w:r>
        <w:rPr>
          <w:rFonts w:ascii="Times New Roman" w:cs="Times New Roman" w:eastAsia="Times New Roman" w:hAnsi="Times New Roman"/>
          <w:sz w:val="19"/>
          <w:szCs w:val="19"/>
          <w:color w:val="auto"/>
        </w:rPr>
        <w:t xml:space="preserve"> has been duly registered.</w:t>
      </w:r>
    </w:p>
    <w:p>
      <w:pPr>
        <w:spacing w:after="0" w:line="217" w:lineRule="exact"/>
        <w:rPr>
          <w:rFonts w:ascii="Times New Roman" w:cs="Times New Roman" w:eastAsia="Times New Roman" w:hAnsi="Times New Roman"/>
          <w:sz w:val="19"/>
          <w:szCs w:val="19"/>
          <w:color w:val="auto"/>
        </w:rPr>
      </w:pPr>
    </w:p>
    <w:p>
      <w:pPr>
        <w:ind w:left="1320" w:hanging="660"/>
        <w:spacing w:after="0"/>
        <w:tabs>
          <w:tab w:leader="none" w:pos="132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Parties have duly signed the relevant syndicated loan fee letter.</w:t>
      </w:r>
    </w:p>
    <w:p>
      <w:pPr>
        <w:spacing w:after="0" w:line="213" w:lineRule="exact"/>
        <w:rPr>
          <w:rFonts w:ascii="Times New Roman" w:cs="Times New Roman" w:eastAsia="Times New Roman" w:hAnsi="Times New Roman"/>
          <w:sz w:val="19"/>
          <w:szCs w:val="19"/>
          <w:color w:val="auto"/>
        </w:rPr>
      </w:pPr>
    </w:p>
    <w:p>
      <w:pPr>
        <w:ind w:left="1320" w:right="120" w:hanging="660"/>
        <w:spacing w:after="0" w:line="265" w:lineRule="auto"/>
        <w:tabs>
          <w:tab w:leader="none" w:pos="1320"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[Evidence that the Borrower’s self-raised funds have been fully in place and that the conditions for compliance related to the M&amp;A have been satisfied].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82"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conduct a formal review of such documents within three (3)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upon receipt thereof. If the review is passed,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forward a complete set of duplicate copies of the documents to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ind w:left="460"/>
        <w:spacing w:after="0" w:line="219" w:lineRule="exact"/>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properly keep the original copies of all Finance Documents and drawdown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related materials.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4.3  Conditions to Each Drawdown</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Upon satisfaction of each of the following conditions,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in accordance with its respective </w:t>
      </w:r>
      <w:r>
        <w:rPr>
          <w:rFonts w:ascii="Times New Roman" w:cs="Times New Roman" w:eastAsia="Times New Roman" w:hAnsi="Times New Roman"/>
          <w:sz w:val="19"/>
          <w:szCs w:val="19"/>
          <w:b w:val="1"/>
          <w:bCs w:val="1"/>
          <w:u w:val="single" w:color="auto"/>
          <w:color w:val="auto"/>
        </w:rPr>
        <w:t>Commitment Ratio</w:t>
      </w:r>
      <w:r>
        <w:rPr>
          <w:rFonts w:ascii="Times New Roman" w:cs="Times New Roman" w:eastAsia="Times New Roman" w:hAnsi="Times New Roman"/>
          <w:sz w:val="19"/>
          <w:szCs w:val="19"/>
          <w:color w:val="auto"/>
        </w:rPr>
        <w:t xml:space="preserve">, make each disbursement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through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pursuant to Article 8.1 (</w:t>
      </w:r>
      <w:r>
        <w:rPr>
          <w:rFonts w:ascii="Times New Roman" w:cs="Times New Roman" w:eastAsia="Times New Roman" w:hAnsi="Times New Roman"/>
          <w:sz w:val="19"/>
          <w:szCs w:val="19"/>
          <w:i w:val="1"/>
          <w:iCs w:val="1"/>
          <w:color w:val="auto"/>
        </w:rPr>
        <w:t>Disbursement of Loan Funds</w:t>
      </w:r>
      <w:r>
        <w:rPr>
          <w:rFonts w:ascii="Times New Roman" w:cs="Times New Roman" w:eastAsia="Times New Roman" w:hAnsi="Times New Roman"/>
          <w:sz w:val="19"/>
          <w:szCs w:val="19"/>
          <w:color w:val="auto"/>
        </w:rPr>
        <w:t>) hereof.</w:t>
      </w:r>
    </w:p>
    <w:p>
      <w:pPr>
        <w:spacing w:after="0" w:line="156" w:lineRule="exact"/>
        <w:rPr>
          <w:sz w:val="20"/>
          <w:szCs w:val="20"/>
          <w:color w:val="auto"/>
        </w:rPr>
      </w:pPr>
    </w:p>
    <w:p>
      <w:pPr>
        <w:ind w:right="60" w:firstLine="451"/>
        <w:spacing w:after="0" w:line="270" w:lineRule="auto"/>
        <w:tabs>
          <w:tab w:leader="none" w:pos="66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scheduled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xml:space="preserve"> for such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each representation and warranty made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 Article 14 (</w:t>
      </w:r>
      <w:r>
        <w:rPr>
          <w:rFonts w:ascii="Times New Roman" w:cs="Times New Roman" w:eastAsia="Times New Roman" w:hAnsi="Times New Roman"/>
          <w:sz w:val="19"/>
          <w:szCs w:val="19"/>
          <w:i w:val="1"/>
          <w:iCs w:val="1"/>
          <w:color w:val="auto"/>
        </w:rPr>
        <w:t>Representations and Warranties</w:t>
      </w:r>
      <w:r>
        <w:rPr>
          <w:rFonts w:ascii="Times New Roman" w:cs="Times New Roman" w:eastAsia="Times New Roman" w:hAnsi="Times New Roman"/>
          <w:sz w:val="19"/>
          <w:szCs w:val="19"/>
          <w:color w:val="auto"/>
        </w:rPr>
        <w:t>) hereof is true and accurate in light of the facts and circumstances at such time.</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632"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Potential Event of Default</w:t>
      </w:r>
      <w:r>
        <w:rPr>
          <w:rFonts w:ascii="Times New Roman" w:cs="Times New Roman" w:eastAsia="Times New Roman" w:hAnsi="Times New Roman"/>
          <w:sz w:val="19"/>
          <w:szCs w:val="19"/>
          <w:color w:val="auto"/>
        </w:rPr>
        <w:t xml:space="preserve"> has occurred and is continuing, and the drawdown of such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will not result in any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Potential Event of Default</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circumstance set forth in Paragraph 2, Article 5.2 and Paragraph 4, Article 8.2 hereof has occurred.</w:t>
      </w:r>
    </w:p>
    <w:p>
      <w:pPr>
        <w:spacing w:after="0" w:line="209"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self-raised M&amp;A funds have been fully in place, and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has provided corresponding evidence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has received documents and certificates relating to the M&amp;A Transaction and the purpose of the Loan.</w:t>
      </w:r>
    </w:p>
    <w:p>
      <w:pPr>
        <w:spacing w:after="0" w:line="217"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circumstance set forth in Paragraph 2, Article 7.4 hereof has occurred; and</w:t>
      </w:r>
    </w:p>
    <w:p>
      <w:pPr>
        <w:spacing w:after="0" w:line="209"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other conditions as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deem necessary.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4.4  Participation Notice</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within five (5) Business Days upon receipt of the Drawdown Notice, notify each Lender of the disbursement of the Loan Funds in writing in the form of Schedule 8 (</w:t>
      </w:r>
      <w:r>
        <w:rPr>
          <w:rFonts w:ascii="Times New Roman" w:cs="Times New Roman" w:eastAsia="Times New Roman" w:hAnsi="Times New Roman"/>
          <w:sz w:val="19"/>
          <w:szCs w:val="19"/>
          <w:i w:val="1"/>
          <w:iCs w:val="1"/>
          <w:color w:val="auto"/>
        </w:rPr>
        <w:t>Form of Participation Notice</w:t>
      </w:r>
      <w:r>
        <w:rPr>
          <w:rFonts w:ascii="Times New Roman" w:cs="Times New Roman" w:eastAsia="Times New Roman" w:hAnsi="Times New Roman"/>
          <w:sz w:val="19"/>
          <w:szCs w:val="19"/>
          <w:color w:val="auto"/>
        </w:rPr>
        <w:t>) hereto, and provide a copy of the Drawdown Notice to each Lender.</w:t>
      </w:r>
    </w:p>
    <w:p>
      <w:pPr>
        <w:spacing w:after="0" w:line="156" w:lineRule="exact"/>
        <w:rPr>
          <w:sz w:val="20"/>
          <w:szCs w:val="20"/>
          <w:color w:val="auto"/>
        </w:rPr>
      </w:pPr>
    </w:p>
    <w:p>
      <w:pPr>
        <w:ind w:left="380" w:hanging="372"/>
        <w:spacing w:after="0"/>
        <w:tabs>
          <w:tab w:leader="none" w:pos="380" w:val="left"/>
        </w:tabs>
        <w:numPr>
          <w:ilvl w:val="0"/>
          <w:numId w:val="1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Interest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5.1  Loan Interest Rate</w:t>
      </w:r>
    </w:p>
    <w:p>
      <w:pPr>
        <w:spacing w:after="0" w:line="214" w:lineRule="exact"/>
        <w:rPr>
          <w:sz w:val="20"/>
          <w:szCs w:val="20"/>
          <w:color w:val="auto"/>
        </w:rPr>
      </w:pPr>
    </w:p>
    <w:p>
      <w:pPr>
        <w:jc w:val="both"/>
        <w:ind w:right="6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interest rate for each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hereunder shall be an annual interest rate, calculated by using the simple interest method. Such interest rate shall be the [more than 5 years] (1 year / more than 5 years) Loan Prime Rate (the “</w:t>
      </w:r>
      <w:r>
        <w:rPr>
          <w:rFonts w:ascii="Times New Roman" w:cs="Times New Roman" w:eastAsia="Times New Roman" w:hAnsi="Times New Roman"/>
          <w:sz w:val="19"/>
          <w:szCs w:val="19"/>
          <w:b w:val="1"/>
          <w:bCs w:val="1"/>
          <w:color w:val="auto"/>
        </w:rPr>
        <w:t>LPR</w:t>
      </w:r>
      <w:r>
        <w:rPr>
          <w:rFonts w:ascii="Times New Roman" w:cs="Times New Roman" w:eastAsia="Times New Roman" w:hAnsi="Times New Roman"/>
          <w:sz w:val="19"/>
          <w:szCs w:val="19"/>
          <w:color w:val="auto"/>
        </w:rPr>
        <w:t>”) published by the National Interbank Funding Center under the authorization of the People’s Bank of China, plus/minus a floating spread, as specifically set out in Item [(2)] below:</w:t>
      </w:r>
    </w:p>
    <w:p>
      <w:pPr>
        <w:spacing w:after="0" w:line="177" w:lineRule="exact"/>
        <w:rPr>
          <w:sz w:val="20"/>
          <w:szCs w:val="20"/>
          <w:color w:val="auto"/>
        </w:rPr>
      </w:pPr>
    </w:p>
    <w:p>
      <w:pPr>
        <w:jc w:val="both"/>
        <w:ind w:right="40" w:firstLine="451"/>
        <w:spacing w:after="0" w:line="251" w:lineRule="auto"/>
        <w:tabs>
          <w:tab w:leader="none" w:pos="727"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Fixed interest rate (i.e., [/]%), which shall be determined based on the LPR of [/]% published on [/], plus/minus [/]% (i.e., the floating spread). Such interest rate shall remain unchanged during the </w:t>
      </w:r>
      <w:r>
        <w:rPr>
          <w:rFonts w:ascii="Times New Roman" w:cs="Times New Roman" w:eastAsia="Times New Roman" w:hAnsi="Times New Roman"/>
          <w:sz w:val="19"/>
          <w:szCs w:val="19"/>
          <w:b w:val="1"/>
          <w:bCs w:val="1"/>
          <w:u w:val="single" w:color="auto"/>
          <w:color w:val="auto"/>
        </w:rPr>
        <w:t>Loan Term</w:t>
      </w:r>
      <w:r>
        <w:rPr>
          <w:rFonts w:ascii="Times New Roman" w:cs="Times New Roman" w:eastAsia="Times New Roman" w:hAnsi="Times New Roman"/>
          <w:sz w:val="19"/>
          <w:szCs w:val="19"/>
          <w:color w:val="auto"/>
        </w:rPr>
        <w:t>. Where the loan is drawn in installments, the interest rate for each installment shall bear interest at such rate.</w:t>
      </w:r>
    </w:p>
    <w:p>
      <w:pPr>
        <w:spacing w:after="0" w:line="174" w:lineRule="exact"/>
        <w:rPr>
          <w:rFonts w:ascii="Times New Roman" w:cs="Times New Roman" w:eastAsia="Times New Roman" w:hAnsi="Times New Roman"/>
          <w:sz w:val="19"/>
          <w:szCs w:val="19"/>
          <w:color w:val="auto"/>
        </w:rPr>
      </w:pPr>
    </w:p>
    <w:p>
      <w:pPr>
        <w:ind w:right="60" w:firstLine="451"/>
        <w:spacing w:after="0" w:line="270" w:lineRule="auto"/>
        <w:tabs>
          <w:tab w:leader="none" w:pos="747"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Floating interest rate, which shall be determined as the LPR on the day immediately preceding the </w:t>
      </w:r>
      <w:r>
        <w:rPr>
          <w:rFonts w:ascii="Times New Roman" w:cs="Times New Roman" w:eastAsia="Times New Roman" w:hAnsi="Times New Roman"/>
          <w:sz w:val="19"/>
          <w:szCs w:val="19"/>
          <w:b w:val="1"/>
          <w:bCs w:val="1"/>
          <w:u w:val="single" w:color="auto"/>
          <w:color w:val="auto"/>
        </w:rPr>
        <w:t>Interest Determination Date</w:t>
      </w:r>
      <w:r>
        <w:rPr>
          <w:rFonts w:ascii="Times New Roman" w:cs="Times New Roman" w:eastAsia="Times New Roman" w:hAnsi="Times New Roman"/>
          <w:sz w:val="19"/>
          <w:szCs w:val="19"/>
          <w:color w:val="auto"/>
        </w:rPr>
        <w:t>, plus/minus [ / ]% (i.e., the floating spread)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86"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9"/>
          <w:szCs w:val="19"/>
          <w:color w:val="auto"/>
        </w:rPr>
        <w:t>calculation formula is as follows: R1 = R0 ± n%, where “R1” is the Loan Interest Rate, “R0” is the LPR, and “n%” is the floating spread, i.e., the percentage points added or subtracted). Where the loan is drawn in installments, the interest rate for each installment shall be determined based on the LPR level on the day immediately preceding the respective Drawdown Date of such installment, applying the floating rules as set forth above.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The Borrower acknowledges and agrees that:</w:t>
      </w:r>
    </w:p>
    <w:p>
      <w:pPr>
        <w:spacing w:after="0" w:line="214" w:lineRule="exact"/>
        <w:rPr>
          <w:sz w:val="20"/>
          <w:szCs w:val="20"/>
          <w:color w:val="auto"/>
        </w:rPr>
      </w:pPr>
    </w:p>
    <w:p>
      <w:pPr>
        <w:jc w:val="both"/>
        <w:ind w:right="40" w:firstLine="451"/>
        <w:spacing w:after="0" w:line="241" w:lineRule="auto"/>
        <w:tabs>
          <w:tab w:leader="none" w:pos="753" w:val="left"/>
        </w:tabs>
        <w:numPr>
          <w:ilvl w:val="0"/>
          <w:numId w:val="1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If during the performance of this Contract, adjustments occur to the laws, regulations, regulatory policies, self-regulatory mechanism for market interest rate pricing, self-regulatory agreements on Loan Interest Rates, LPR or other matters relating to the Loan Interest Rate, resulting in the Loan Interest Rate agreed herein (including fixed interest rate, floating interest rate and otherwise) being lower than the latest minimum permissible rate (the “Latest Minimum Permissible Rate”) under the interest rate policies or self-regulatory agreements, the Loan Interest Rate hereunder (including the interest rate of newly drawn loans at the time of drawdown and the adjusted interest rate of drawn loans following LPR changes) shall be adjusted correspondingly to no lower than the Latest Minimum Permissible Rate (such adjusted interest rate is hereinafter referred to the “Applicable Interest Rate”). The specific Applicable Interest Rate and its effective date shall be subject to the notice issued by the Agent.</w:t>
      </w:r>
    </w:p>
    <w:p>
      <w:pPr>
        <w:spacing w:after="0" w:line="188" w:lineRule="exact"/>
        <w:rPr>
          <w:rFonts w:ascii="Times New Roman" w:cs="Times New Roman" w:eastAsia="Times New Roman" w:hAnsi="Times New Roman"/>
          <w:sz w:val="19"/>
          <w:szCs w:val="19"/>
          <w:b w:val="1"/>
          <w:bCs w:val="1"/>
          <w:color w:val="auto"/>
        </w:rPr>
      </w:pPr>
    </w:p>
    <w:p>
      <w:pPr>
        <w:jc w:val="both"/>
        <w:ind w:right="40" w:firstLine="451"/>
        <w:spacing w:after="0" w:line="241" w:lineRule="auto"/>
        <w:tabs>
          <w:tab w:leader="none" w:pos="716" w:val="left"/>
        </w:tabs>
        <w:numPr>
          <w:ilvl w:val="0"/>
          <w:numId w:val="1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If the Borrower does not agree to the said adjustment to the Loan Interest Rate, the Borrower may notify the Agent in writing of its choice to early terminate this Contract and repay the outstanding loan within 10 Business Days upon receipt of the Agent’s notice. The arrangements after such early termination shall follow applicable laws, regulations and the relevant provisions of this Contract. Prior to the early termination of this Contract, the Loan Interest Rate hereunder shall be that as notified by the Agent. If the Borrower chooses to continue performing this Contract, or fails to notify the Agent of its choice to early terminate this Contract within the said time limit, the Borrower shall be deemed to have agreed to the said adjustment to the Loan Interest Rate. During the performance of this Contract, the Borrower may apply to the Agent for prepayment of all or any part of the loan in accordance with the provisions of this Contract (the arrangement for prepayment shall follow relevant provisions of this Contract). In case of partial prepayment, the outstanding portion of the loan shall continue to be governed by the foregoing provisions.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5.2  Default Interest Rate</w:t>
      </w:r>
    </w:p>
    <w:p>
      <w:pPr>
        <w:spacing w:after="0" w:line="214" w:lineRule="exact"/>
        <w:rPr>
          <w:sz w:val="20"/>
          <w:szCs w:val="20"/>
          <w:color w:val="auto"/>
        </w:rPr>
      </w:pPr>
    </w:p>
    <w:p>
      <w:pPr>
        <w:jc w:val="both"/>
        <w:ind w:right="60" w:firstLine="451"/>
        <w:spacing w:after="0" w:line="253" w:lineRule="auto"/>
        <w:tabs>
          <w:tab w:leader="none" w:pos="646"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fails to pay any amount due and payable hereunder in accordance with the provisions of this Contract,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shall impose default interest on the overdue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for the actual number of overdue days, at a rate equal to fifty percent (50%) above the Loan Interest Rate agreed in Article 5.1 above.</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63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misappropriates any Loan Funds, the Agent shall impose default interest on the misappropriated Loan Funds for the actual number of misappropriated days, at a rate equal to a hundred percent (100%) above the Loan Interest Rate agreed in Article 5.1 above.</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same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is both overdue and misappropriated by the Borrower, the higher of the two </w:t>
      </w:r>
      <w:r>
        <w:rPr>
          <w:rFonts w:ascii="Times New Roman" w:cs="Times New Roman" w:eastAsia="Times New Roman" w:hAnsi="Times New Roman"/>
          <w:sz w:val="19"/>
          <w:szCs w:val="19"/>
          <w:b w:val="1"/>
          <w:bCs w:val="1"/>
          <w:color w:val="auto"/>
        </w:rPr>
        <w:t>Default Interest Rates</w:t>
      </w:r>
      <w:r>
        <w:rPr>
          <w:rFonts w:ascii="Times New Roman" w:cs="Times New Roman" w:eastAsia="Times New Roman" w:hAnsi="Times New Roman"/>
          <w:sz w:val="19"/>
          <w:szCs w:val="19"/>
          <w:color w:val="auto"/>
        </w:rPr>
        <w:t xml:space="preserve"> aforesaid shall</w:t>
      </w:r>
    </w:p>
    <w:p>
      <w:pPr>
        <w:spacing w:after="0" w:line="2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apply.</w:t>
      </w:r>
    </w:p>
    <w:p>
      <w:pPr>
        <w:spacing w:after="0" w:line="193" w:lineRule="exact"/>
        <w:rPr>
          <w:rFonts w:ascii="Times New Roman" w:cs="Times New Roman" w:eastAsia="Times New Roman" w:hAnsi="Times New Roman"/>
          <w:sz w:val="19"/>
          <w:szCs w:val="19"/>
          <w:color w:val="auto"/>
        </w:rPr>
      </w:pPr>
    </w:p>
    <w:p>
      <w:pPr>
        <w:jc w:val="both"/>
        <w:ind w:right="40" w:firstLine="451"/>
        <w:spacing w:after="0" w:line="244" w:lineRule="auto"/>
        <w:tabs>
          <w:tab w:leader="none" w:pos="633"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Article 5.3 shall also apply to the interest period in respect of interests accrued at the overdue Default Interest Rate or the misappropriation Default Interest Rate (collectively, “</w:t>
      </w:r>
      <w:r>
        <w:rPr>
          <w:rFonts w:ascii="Times New Roman" w:cs="Times New Roman" w:eastAsia="Times New Roman" w:hAnsi="Times New Roman"/>
          <w:sz w:val="19"/>
          <w:szCs w:val="19"/>
          <w:b w:val="1"/>
          <w:bCs w:val="1"/>
          <w:color w:val="auto"/>
        </w:rPr>
        <w:t>Default Interests</w:t>
      </w:r>
      <w:r>
        <w:rPr>
          <w:rFonts w:ascii="Times New Roman" w:cs="Times New Roman" w:eastAsia="Times New Roman" w:hAnsi="Times New Roman"/>
          <w:sz w:val="19"/>
          <w:szCs w:val="19"/>
          <w:color w:val="auto"/>
        </w:rPr>
        <w:t>”). That is to say, the first interest period for Default Interests shall commence on the date when any amount hereunder becomes due and unpaid, and end on the immediately subsequent Interest Settlement Date (exclusive). If the Borrower fails to pay the Default Interest on the Repayment Date, the Lenders shall calculate compound interest on the Default Interest as principal in the next interest period at the overdue Default Interest Rate or the misappropriation Default Interest Rate.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86" w:lineRule="exact"/>
        <w:rPr>
          <w:sz w:val="20"/>
          <w:szCs w:val="20"/>
          <w:color w:val="auto"/>
        </w:rPr>
      </w:pPr>
    </w:p>
    <w:p>
      <w:pPr>
        <w:ind w:right="60" w:firstLine="451"/>
        <w:spacing w:after="0" w:line="265" w:lineRule="auto"/>
        <w:tabs>
          <w:tab w:leader="none" w:pos="6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right to collect Default Interests shall not affect the Lenders’ other rights or remedies under any Finance Document or applicable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5.3  Interest Period</w:t>
      </w:r>
    </w:p>
    <w:p>
      <w:pPr>
        <w:spacing w:after="0" w:line="214" w:lineRule="exact"/>
        <w:rPr>
          <w:sz w:val="20"/>
          <w:szCs w:val="20"/>
          <w:color w:val="auto"/>
        </w:rPr>
      </w:pPr>
    </w:p>
    <w:p>
      <w:pPr>
        <w:ind w:right="60" w:firstLine="451"/>
        <w:spacing w:after="0" w:line="270" w:lineRule="auto"/>
        <w:tabs>
          <w:tab w:leader="none" w:pos="644"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Prior to repayment, interest on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shall accrue over consecutive periods (the “</w:t>
      </w:r>
      <w:r>
        <w:rPr>
          <w:rFonts w:ascii="Times New Roman" w:cs="Times New Roman" w:eastAsia="Times New Roman" w:hAnsi="Times New Roman"/>
          <w:sz w:val="19"/>
          <w:szCs w:val="19"/>
          <w:b w:val="1"/>
          <w:bCs w:val="1"/>
          <w:u w:val="single" w:color="auto"/>
          <w:color w:val="auto"/>
        </w:rPr>
        <w:t>Interest Periods</w:t>
      </w:r>
      <w:r>
        <w:rPr>
          <w:rFonts w:ascii="Times New Roman" w:cs="Times New Roman" w:eastAsia="Times New Roman" w:hAnsi="Times New Roman"/>
          <w:sz w:val="19"/>
          <w:szCs w:val="19"/>
          <w:color w:val="auto"/>
        </w:rPr>
        <w:t xml:space="preserve">”). Unless otherwise agreed herein, each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 xml:space="preserve"> shall be [Redacted] months.</w:t>
      </w:r>
    </w:p>
    <w:p>
      <w:pPr>
        <w:spacing w:after="0" w:line="160"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this Contract:</w:t>
      </w:r>
    </w:p>
    <w:p>
      <w:pPr>
        <w:spacing w:after="0" w:line="210" w:lineRule="exact"/>
        <w:rPr>
          <w:sz w:val="20"/>
          <w:szCs w:val="20"/>
          <w:color w:val="auto"/>
        </w:rPr>
      </w:pPr>
    </w:p>
    <w:p>
      <w:pPr>
        <w:ind w:right="40" w:firstLine="451"/>
        <w:spacing w:after="0" w:line="270" w:lineRule="auto"/>
        <w:tabs>
          <w:tab w:leader="none" w:pos="751"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first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 xml:space="preserve"> for each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shall commence on its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xml:space="preserve"> (inclusive) and end on the immediately subsequent </w:t>
      </w:r>
      <w:r>
        <w:rPr>
          <w:rFonts w:ascii="Times New Roman" w:cs="Times New Roman" w:eastAsia="Times New Roman" w:hAnsi="Times New Roman"/>
          <w:sz w:val="19"/>
          <w:szCs w:val="19"/>
          <w:b w:val="1"/>
          <w:bCs w:val="1"/>
          <w:u w:val="single" w:color="auto"/>
          <w:color w:val="auto"/>
        </w:rPr>
        <w:t>Interest Settlement Date</w:t>
      </w:r>
      <w:r>
        <w:rPr>
          <w:rFonts w:ascii="Times New Roman" w:cs="Times New Roman" w:eastAsia="Times New Roman" w:hAnsi="Times New Roman"/>
          <w:sz w:val="19"/>
          <w:szCs w:val="19"/>
          <w:color w:val="auto"/>
        </w:rPr>
        <w:t xml:space="preserve"> (exclusive).</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31"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drawn after the first drawdown shall be consolidated with the existing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on the expiry date of its first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738"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 xml:space="preserve"> subsequent to the first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 xml:space="preserve"> for each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drawn shall commence on the previous </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Settlement Date </w:t>
      </w:r>
      <w:r>
        <w:rPr>
          <w:rFonts w:ascii="Times New Roman" w:cs="Times New Roman" w:eastAsia="Times New Roman" w:hAnsi="Times New Roman"/>
          <w:sz w:val="19"/>
          <w:szCs w:val="19"/>
          <w:color w:val="auto"/>
        </w:rPr>
        <w:t>(inclusive) and end on the immediately subsequent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Interest Settlement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(exclusive).</w:t>
      </w:r>
    </w:p>
    <w:p>
      <w:pPr>
        <w:spacing w:after="0" w:line="15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final </w:t>
      </w:r>
      <w:r>
        <w:rPr>
          <w:rFonts w:ascii="Times New Roman" w:cs="Times New Roman" w:eastAsia="Times New Roman" w:hAnsi="Times New Roman"/>
          <w:sz w:val="19"/>
          <w:szCs w:val="19"/>
          <w:b w:val="1"/>
          <w:bCs w:val="1"/>
          <w:u w:val="single" w:color="auto"/>
          <w:color w:val="auto"/>
        </w:rPr>
        <w:t>Interest Period</w:t>
      </w:r>
      <w:r>
        <w:rPr>
          <w:rFonts w:ascii="Times New Roman" w:cs="Times New Roman" w:eastAsia="Times New Roman" w:hAnsi="Times New Roman"/>
          <w:sz w:val="19"/>
          <w:szCs w:val="19"/>
          <w:color w:val="auto"/>
        </w:rPr>
        <w:t xml:space="preserve"> for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shall end on the final </w:t>
      </w:r>
      <w:r>
        <w:rPr>
          <w:rFonts w:ascii="Times New Roman" w:cs="Times New Roman" w:eastAsia="Times New Roman" w:hAnsi="Times New Roman"/>
          <w:sz w:val="19"/>
          <w:szCs w:val="19"/>
          <w:b w:val="1"/>
          <w:bCs w:val="1"/>
          <w:u w:val="single" w:color="auto"/>
          <w:color w:val="auto"/>
        </w:rPr>
        <w:t>Repayment Date</w:t>
      </w:r>
      <w:r>
        <w:rPr>
          <w:rFonts w:ascii="Times New Roman" w:cs="Times New Roman" w:eastAsia="Times New Roman" w:hAnsi="Times New Roman"/>
          <w:sz w:val="19"/>
          <w:szCs w:val="19"/>
          <w:color w:val="auto"/>
        </w:rPr>
        <w:t xml:space="preserve"> (exclusive).</w:t>
      </w:r>
    </w:p>
    <w:p>
      <w:pPr>
        <w:spacing w:after="0" w:line="214" w:lineRule="exact"/>
        <w:rPr>
          <w:sz w:val="20"/>
          <w:szCs w:val="20"/>
          <w:color w:val="auto"/>
        </w:rPr>
      </w:pPr>
    </w:p>
    <w:p>
      <w:pPr>
        <w:ind w:right="60" w:firstLine="451"/>
        <w:spacing w:after="0" w:line="270" w:lineRule="auto"/>
        <w:tabs>
          <w:tab w:leader="none" w:pos="632"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 </w:t>
      </w:r>
      <w:r>
        <w:rPr>
          <w:rFonts w:ascii="Times New Roman" w:cs="Times New Roman" w:eastAsia="Times New Roman" w:hAnsi="Times New Roman"/>
          <w:sz w:val="19"/>
          <w:szCs w:val="19"/>
          <w:b w:val="1"/>
          <w:bCs w:val="1"/>
          <w:u w:val="single" w:color="auto"/>
          <w:color w:val="auto"/>
        </w:rPr>
        <w:t>Interest Payment Date</w:t>
      </w:r>
      <w:r>
        <w:rPr>
          <w:rFonts w:ascii="Times New Roman" w:cs="Times New Roman" w:eastAsia="Times New Roman" w:hAnsi="Times New Roman"/>
          <w:sz w:val="19"/>
          <w:szCs w:val="19"/>
          <w:color w:val="auto"/>
        </w:rPr>
        <w:t xml:space="preserve"> falls on a non-Business Day, such Interest Payment Date shall be automatically postponed to the immediately following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5.4  Calculation of Interests</w:t>
      </w:r>
    </w:p>
    <w:p>
      <w:pPr>
        <w:spacing w:after="0" w:line="214" w:lineRule="exact"/>
        <w:rPr>
          <w:sz w:val="20"/>
          <w:szCs w:val="20"/>
          <w:color w:val="auto"/>
        </w:rPr>
      </w:pPr>
    </w:p>
    <w:p>
      <w:pPr>
        <w:jc w:val="both"/>
        <w:ind w:right="40" w:firstLine="451"/>
        <w:spacing w:after="0" w:line="253" w:lineRule="auto"/>
        <w:tabs>
          <w:tab w:leader="none" w:pos="637"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Interests and/or Default Interests in respect of any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hereunder shall accrue on a daily basis, based on the actual number of days borrowed and the daily interest rate/daily Default Interest Rate (which shall be calculated by the following formula: Daily interest rate / Daily Default Interest Rate = corresponding annual interest rate / 360).</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646"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shall determine the applicable </w:t>
      </w:r>
      <w:r>
        <w:rPr>
          <w:rFonts w:ascii="Times New Roman" w:cs="Times New Roman" w:eastAsia="Times New Roman" w:hAnsi="Times New Roman"/>
          <w:sz w:val="19"/>
          <w:szCs w:val="19"/>
          <w:b w:val="1"/>
          <w:bCs w:val="1"/>
          <w:u w:val="single" w:color="auto"/>
          <w:color w:val="auto"/>
        </w:rPr>
        <w:t>Loan Interest Rate</w:t>
      </w:r>
      <w:r>
        <w:rPr>
          <w:rFonts w:ascii="Times New Roman" w:cs="Times New Roman" w:eastAsia="Times New Roman" w:hAnsi="Times New Roman"/>
          <w:sz w:val="19"/>
          <w:szCs w:val="19"/>
          <w:color w:val="auto"/>
        </w:rPr>
        <w:t xml:space="preserve"> in accordance with the provisions of this Contract on each Interest Rate Determination Date.</w:t>
      </w:r>
    </w:p>
    <w:p>
      <w:pPr>
        <w:spacing w:after="0" w:line="160"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fails to pay interest on schedule or misappropriates the Loan Funds, compound interest shall accrue from the next day.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5.5  Interest Settlement</w:t>
      </w:r>
    </w:p>
    <w:p>
      <w:pPr>
        <w:spacing w:after="0" w:line="218" w:lineRule="exact"/>
        <w:rPr>
          <w:sz w:val="20"/>
          <w:szCs w:val="20"/>
          <w:color w:val="auto"/>
        </w:rPr>
      </w:pPr>
    </w:p>
    <w:p>
      <w:pPr>
        <w:jc w:val="both"/>
        <w:ind w:right="40" w:firstLine="451"/>
        <w:spacing w:after="0" w:line="246" w:lineRule="auto"/>
        <w:tabs>
          <w:tab w:leader="none" w:pos="645"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Loan Interest Rate hereunder is a fixed one, interest shall be calculated at the agreed rate upon interest settlement. Where the Loan Interest Rate hereunder is a floating one, interest shall be calculated at the rate determined for the current floating period. If there are multiple interest rate floating within the same interest settlement period, interest for each floating period shall be calculated separately, and the total interest for such interest settlement period shall be determined by aggregating the interest of each floating period on the Interest Settlement Date.</w:t>
      </w:r>
    </w:p>
    <w:p>
      <w:pPr>
        <w:spacing w:after="0" w:line="180"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32"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pay interest (including Default Interest and compound interest) accrued in respect of each Loan Fund on each </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Payment Date</w:t>
      </w:r>
      <w:r>
        <w:rPr>
          <w:rFonts w:ascii="Times New Roman" w:cs="Times New Roman" w:eastAsia="Times New Roman" w:hAnsi="Times New Roman"/>
          <w:sz w:val="19"/>
          <w:szCs w:val="19"/>
          <w:color w:val="auto"/>
        </w:rPr>
        <w:t>. If an</w:t>
      </w:r>
      <w:r>
        <w:rPr>
          <w:rFonts w:ascii="Times New Roman" w:cs="Times New Roman" w:eastAsia="Times New Roman" w:hAnsi="Times New Roman"/>
          <w:sz w:val="19"/>
          <w:szCs w:val="19"/>
          <w:b w:val="1"/>
          <w:bCs w:val="1"/>
          <w:color w:val="auto"/>
        </w:rPr>
        <w:t xml:space="preserve"> Interest Payment Date </w:t>
      </w:r>
      <w:r>
        <w:rPr>
          <w:rFonts w:ascii="Times New Roman" w:cs="Times New Roman" w:eastAsia="Times New Roman" w:hAnsi="Times New Roman"/>
          <w:sz w:val="19"/>
          <w:szCs w:val="19"/>
          <w:color w:val="auto"/>
        </w:rPr>
        <w:t>falls on a non-</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such</w:t>
      </w:r>
      <w:r>
        <w:rPr>
          <w:rFonts w:ascii="Times New Roman" w:cs="Times New Roman" w:eastAsia="Times New Roman" w:hAnsi="Times New Roman"/>
          <w:sz w:val="19"/>
          <w:szCs w:val="19"/>
          <w:b w:val="1"/>
          <w:bCs w:val="1"/>
          <w:color w:val="auto"/>
        </w:rPr>
        <w:t xml:space="preserve"> Interest Payment Date </w:t>
      </w:r>
      <w:r>
        <w:rPr>
          <w:rFonts w:ascii="Times New Roman" w:cs="Times New Roman" w:eastAsia="Times New Roman" w:hAnsi="Times New Roman"/>
          <w:sz w:val="19"/>
          <w:szCs w:val="19"/>
          <w:color w:val="auto"/>
        </w:rPr>
        <w:t>shall be automatically postponed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immediately following </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xml:space="preserve">. The final installment of interest shall be payable on the final </w:t>
      </w:r>
      <w:r>
        <w:rPr>
          <w:rFonts w:ascii="Times New Roman" w:cs="Times New Roman" w:eastAsia="Times New Roman" w:hAnsi="Times New Roman"/>
          <w:sz w:val="19"/>
          <w:szCs w:val="19"/>
          <w:b w:val="1"/>
          <w:bCs w:val="1"/>
          <w:color w:val="auto"/>
        </w:rPr>
        <w:t>Repayment Date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VI. Repayment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6.1  Loan Term</w:t>
      </w:r>
    </w:p>
    <w:p>
      <w:pPr>
        <w:spacing w:after="0" w:line="214" w:lineRule="exact"/>
        <w:rPr>
          <w:sz w:val="20"/>
          <w:szCs w:val="20"/>
          <w:color w:val="auto"/>
        </w:rPr>
      </w:pPr>
    </w:p>
    <w:p>
      <w:pPr>
        <w:jc w:val="both"/>
        <w:ind w:right="40" w:firstLine="451"/>
        <w:spacing w:after="0" w:line="253" w:lineRule="auto"/>
        <w:tabs>
          <w:tab w:leader="none" w:pos="633"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 of the loan hereunder shall be [7] years, commencing on the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xml:space="preserve"> of the first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(i.e., [Redacted], inclusive) and ending on [Redacted] (inclusive) (the “</w:t>
      </w:r>
      <w:r>
        <w:rPr>
          <w:rFonts w:ascii="Times New Roman" w:cs="Times New Roman" w:eastAsia="Times New Roman" w:hAnsi="Times New Roman"/>
          <w:sz w:val="19"/>
          <w:szCs w:val="19"/>
          <w:b w:val="1"/>
          <w:bCs w:val="1"/>
          <w:u w:val="single" w:color="auto"/>
          <w:color w:val="auto"/>
        </w:rPr>
        <w:t>Loan Term</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repay all Indebtedness owed by it hereunder in accordance with the terms hereof prior to the expiry of the </w:t>
      </w:r>
      <w:r>
        <w:rPr>
          <w:rFonts w:ascii="Times New Roman" w:cs="Times New Roman" w:eastAsia="Times New Roman" w:hAnsi="Times New Roman"/>
          <w:sz w:val="19"/>
          <w:szCs w:val="19"/>
          <w:b w:val="1"/>
          <w:bCs w:val="1"/>
          <w:u w:val="single" w:color="auto"/>
          <w:color w:val="auto"/>
        </w:rPr>
        <w:t>Loan Term</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extension of the </w:t>
      </w:r>
      <w:r>
        <w:rPr>
          <w:rFonts w:ascii="Times New Roman" w:cs="Times New Roman" w:eastAsia="Times New Roman" w:hAnsi="Times New Roman"/>
          <w:sz w:val="19"/>
          <w:szCs w:val="19"/>
          <w:b w:val="1"/>
          <w:bCs w:val="1"/>
          <w:u w:val="single" w:color="auto"/>
          <w:color w:val="auto"/>
        </w:rPr>
        <w:t>Loan Term</w:t>
      </w:r>
      <w:r>
        <w:rPr>
          <w:rFonts w:ascii="Times New Roman" w:cs="Times New Roman" w:eastAsia="Times New Roman" w:hAnsi="Times New Roman"/>
          <w:sz w:val="19"/>
          <w:szCs w:val="19"/>
          <w:color w:val="auto"/>
        </w:rPr>
        <w:t xml:space="preserve"> shall be subject to the consent of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39"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Grace Period of the loan</w:t>
      </w:r>
      <w:r>
        <w:rPr>
          <w:rFonts w:ascii="Times New Roman" w:cs="Times New Roman" w:eastAsia="Times New Roman" w:hAnsi="Times New Roman"/>
          <w:sz w:val="19"/>
          <w:szCs w:val="19"/>
          <w:color w:val="auto"/>
        </w:rPr>
        <w:t xml:space="preserve"> shall be [/] months commencing on the Drawdown Date of the first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During the Grace Period,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shall only be required to pay interest in accordance with the provisions of this Contract and shall temporarily not be required to repay the principal of the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6.2  Repayment</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make repayments on each </w:t>
      </w:r>
      <w:r>
        <w:rPr>
          <w:rFonts w:ascii="Times New Roman" w:cs="Times New Roman" w:eastAsia="Times New Roman" w:hAnsi="Times New Roman"/>
          <w:sz w:val="19"/>
          <w:szCs w:val="19"/>
          <w:b w:val="1"/>
          <w:bCs w:val="1"/>
          <w:u w:val="single" w:color="auto"/>
          <w:color w:val="auto"/>
        </w:rPr>
        <w:t>Repayment Date</w:t>
      </w:r>
      <w:r>
        <w:rPr>
          <w:rFonts w:ascii="Times New Roman" w:cs="Times New Roman" w:eastAsia="Times New Roman" w:hAnsi="Times New Roman"/>
          <w:sz w:val="19"/>
          <w:szCs w:val="19"/>
          <w:color w:val="auto"/>
        </w:rPr>
        <w:t xml:space="preserve"> in accordance with the repayment schedule set forth in Schedule 7 (</w:t>
      </w:r>
      <w:r>
        <w:rPr>
          <w:rFonts w:ascii="Times New Roman" w:cs="Times New Roman" w:eastAsia="Times New Roman" w:hAnsi="Times New Roman"/>
          <w:sz w:val="19"/>
          <w:szCs w:val="19"/>
          <w:i w:val="1"/>
          <w:iCs w:val="1"/>
          <w:color w:val="auto"/>
        </w:rPr>
        <w:t>Repayment Schedule</w:t>
      </w:r>
      <w:r>
        <w:rPr>
          <w:rFonts w:ascii="Times New Roman" w:cs="Times New Roman" w:eastAsia="Times New Roman" w:hAnsi="Times New Roman"/>
          <w:sz w:val="19"/>
          <w:szCs w:val="19"/>
          <w:color w:val="auto"/>
        </w:rPr>
        <w:t>) hereto. The specific repayment dates and amounts shall be subject to the maturity dates stated on the loan debit note.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If a Repayment Date falls on a non-Business Day, payment shall be postponed to the immediately following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6.3  Repayment Reserve Account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open a repayment reserve account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prior to the Drawdown Date of the first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Account Bank: [Redacted]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Account Name: [Redacted]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Account No.: [Redacted]</w:t>
      </w:r>
    </w:p>
    <w:p>
      <w:pPr>
        <w:spacing w:after="0" w:line="210" w:lineRule="exact"/>
        <w:rPr>
          <w:sz w:val="20"/>
          <w:szCs w:val="20"/>
          <w:color w:val="auto"/>
        </w:rPr>
      </w:pPr>
    </w:p>
    <w:p>
      <w:pPr>
        <w:jc w:val="both"/>
        <w:ind w:right="40" w:firstLine="443"/>
        <w:spacing w:after="0" w:line="245" w:lineRule="auto"/>
        <w:rPr>
          <w:sz w:val="20"/>
          <w:szCs w:val="20"/>
          <w:color w:val="auto"/>
        </w:rPr>
      </w:pPr>
      <w:r>
        <w:rPr>
          <w:rFonts w:ascii="Times New Roman" w:cs="Times New Roman" w:eastAsia="Times New Roman" w:hAnsi="Times New Roman"/>
          <w:sz w:val="19"/>
          <w:szCs w:val="19"/>
          <w:color w:val="auto"/>
        </w:rPr>
        <w:t xml:space="preserve">All income under the </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color w:val="auto"/>
        </w:rPr>
        <w:t xml:space="preserve"> (including but not limited to rental income, parking space income, etc.) shall first be deposited into such account before being used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Upon the request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Borrower shall promptly provide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with information on the fund inflows and outflows of such account.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(with the authorization and consent of each Lender) shall have the right to supervise such account, and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actively cooperate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inspecting the fund inflows and outflows of such account and provide relevant materials as required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repay any due and payable amount in full and on schedule in accordance with the provisions of this Contract,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have the right to directly debit the relevant amount from the repayment reserve account to settle such due and payable amount.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 maturity date falls on a non-banking business day, it shall be postponed to the immediately following banking business day.</w:t>
      </w:r>
    </w:p>
    <w:p>
      <w:pPr>
        <w:spacing w:after="0" w:line="173" w:lineRule="exact"/>
        <w:rPr>
          <w:sz w:val="20"/>
          <w:szCs w:val="20"/>
          <w:color w:val="auto"/>
        </w:rPr>
      </w:pPr>
    </w:p>
    <w:p>
      <w:pPr>
        <w:jc w:val="both"/>
        <w:ind w:right="40" w:firstLine="443"/>
        <w:spacing w:after="0" w:line="245"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shall not create any de facto or legal obstacle on the repayment reserve account that impairs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performance of this Contract. If during the validity period of this Contract, the repayment reserve account is frozen, debited, subject to similar judicial compulsory measures, or becomes unavailable for any other reason,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full security as required by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to apply for the release of such judicial seizure, freezing, etc., or open a new repayment reserve account with the Lenders, and shall deposit into the new repayment account an amount equivalent to the funds retained in the original repayment reserve account.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82" w:lineRule="exact"/>
        <w:rPr>
          <w:sz w:val="20"/>
          <w:szCs w:val="20"/>
          <w:color w:val="auto"/>
        </w:rPr>
      </w:pPr>
    </w:p>
    <w:p>
      <w:pPr>
        <w:jc w:val="both"/>
        <w:ind w:right="60" w:firstLine="443"/>
        <w:spacing w:after="0" w:line="248" w:lineRule="auto"/>
        <w:rPr>
          <w:sz w:val="20"/>
          <w:szCs w:val="20"/>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perform its obligations in accordance with the preceding paragraph,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shall have the right to debit the corresponding receivables from any other accounts opened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with any institution at all levels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(including but not limited to margin accounts, current deposit accounts, time deposit accounts, treasury bond accounts, etc.), and any losses arising from such debit, including interest, handling fees, exchange losses, etc., shall be borne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itself.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VII. Prepayment and Cancellation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7.1  Voluntary Prepayment</w:t>
      </w:r>
    </w:p>
    <w:p>
      <w:pPr>
        <w:spacing w:after="0" w:line="214" w:lineRule="exact"/>
        <w:rPr>
          <w:sz w:val="20"/>
          <w:szCs w:val="20"/>
          <w:color w:val="auto"/>
        </w:rPr>
      </w:pPr>
    </w:p>
    <w:p>
      <w:pPr>
        <w:jc w:val="both"/>
        <w:ind w:right="40" w:firstLine="451"/>
        <w:spacing w:after="0" w:line="253" w:lineRule="auto"/>
        <w:tabs>
          <w:tab w:leader="none" w:pos="637"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intends to prepay all or any part of the </w:t>
      </w:r>
      <w:r>
        <w:rPr>
          <w:rFonts w:ascii="Times New Roman" w:cs="Times New Roman" w:eastAsia="Times New Roman" w:hAnsi="Times New Roman"/>
          <w:sz w:val="19"/>
          <w:szCs w:val="19"/>
          <w:b w:val="1"/>
          <w:bCs w:val="1"/>
          <w:u w:val="single" w:color="auto"/>
          <w:color w:val="auto"/>
        </w:rPr>
        <w:t>Outstanding Loan Balance</w:t>
      </w:r>
      <w:r>
        <w:rPr>
          <w:rFonts w:ascii="Times New Roman" w:cs="Times New Roman" w:eastAsia="Times New Roman" w:hAnsi="Times New Roman"/>
          <w:sz w:val="19"/>
          <w:szCs w:val="19"/>
          <w:color w:val="auto"/>
        </w:rPr>
        <w:t>, it shall send a prepayment notice (the “</w:t>
      </w:r>
      <w:r>
        <w:rPr>
          <w:rFonts w:ascii="Times New Roman" w:cs="Times New Roman" w:eastAsia="Times New Roman" w:hAnsi="Times New Roman"/>
          <w:sz w:val="19"/>
          <w:szCs w:val="19"/>
          <w:b w:val="1"/>
          <w:bCs w:val="1"/>
          <w:color w:val="auto"/>
        </w:rPr>
        <w:t>Prepayment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least fifteen (15)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the intended prepayment date and obtain prior written consent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40" w:firstLine="451"/>
        <w:spacing w:after="0" w:line="270" w:lineRule="auto"/>
        <w:tabs>
          <w:tab w:leader="none" w:pos="63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said </w:t>
      </w:r>
      <w:r>
        <w:rPr>
          <w:rFonts w:ascii="Times New Roman" w:cs="Times New Roman" w:eastAsia="Times New Roman" w:hAnsi="Times New Roman"/>
          <w:sz w:val="19"/>
          <w:szCs w:val="19"/>
          <w:b w:val="1"/>
          <w:bCs w:val="1"/>
          <w:u w:val="single" w:color="auto"/>
          <w:color w:val="auto"/>
        </w:rPr>
        <w:t>Prepayment Notice</w:t>
      </w:r>
      <w:r>
        <w:rPr>
          <w:rFonts w:ascii="Times New Roman" w:cs="Times New Roman" w:eastAsia="Times New Roman" w:hAnsi="Times New Roman"/>
          <w:sz w:val="19"/>
          <w:szCs w:val="19"/>
          <w:color w:val="auto"/>
        </w:rPr>
        <w:t xml:space="preserve"> shall specify the amount and date of the intended prepayment.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make the prepayment on the prepayment date specified in the Prepayment Notice, which shall be an </w:t>
      </w:r>
      <w:r>
        <w:rPr>
          <w:rFonts w:ascii="Times New Roman" w:cs="Times New Roman" w:eastAsia="Times New Roman" w:hAnsi="Times New Roman"/>
          <w:sz w:val="19"/>
          <w:szCs w:val="19"/>
          <w:b w:val="1"/>
          <w:bCs w:val="1"/>
          <w:u w:val="single" w:color="auto"/>
          <w:color w:val="auto"/>
        </w:rPr>
        <w:t>Interest Payment Date</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660" w:hanging="209"/>
        <w:spacing w:after="0"/>
        <w:tabs>
          <w:tab w:leader="none" w:pos="66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intends to prepay part of the </w:t>
      </w:r>
      <w:r>
        <w:rPr>
          <w:rFonts w:ascii="Times New Roman" w:cs="Times New Roman" w:eastAsia="Times New Roman" w:hAnsi="Times New Roman"/>
          <w:sz w:val="19"/>
          <w:szCs w:val="19"/>
          <w:b w:val="1"/>
          <w:bCs w:val="1"/>
          <w:u w:val="single" w:color="auto"/>
          <w:color w:val="auto"/>
        </w:rPr>
        <w:t>Outstanding Loan Balance</w:t>
      </w:r>
      <w:r>
        <w:rPr>
          <w:rFonts w:ascii="Times New Roman" w:cs="Times New Roman" w:eastAsia="Times New Roman" w:hAnsi="Times New Roman"/>
          <w:sz w:val="19"/>
          <w:szCs w:val="19"/>
          <w:color w:val="auto"/>
        </w:rPr>
        <w:t xml:space="preserve">, the amount to be prepaid shall be no less than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 (In</w:t>
      </w:r>
    </w:p>
    <w:p>
      <w:pPr>
        <w:spacing w:after="0" w:line="21" w:lineRule="exact"/>
        <w:rPr>
          <w:rFonts w:ascii="Times New Roman" w:cs="Times New Roman" w:eastAsia="Times New Roman" w:hAnsi="Times New Roman"/>
          <w:sz w:val="19"/>
          <w:szCs w:val="19"/>
          <w:color w:val="auto"/>
        </w:rPr>
      </w:pPr>
    </w:p>
    <w:p>
      <w:pPr>
        <w:ind w:right="60"/>
        <w:spacing w:after="0" w:line="24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words: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 Only), and shall be an integral multiple of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 (In words: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 Only) or such other amount as agreed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right="40" w:firstLine="451"/>
        <w:spacing w:after="0" w:line="265" w:lineRule="auto"/>
        <w:tabs>
          <w:tab w:leader="none" w:pos="651"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interest and/or default interest accrued on the prepaid principal up to the prepayment date shall be repaid together with the prepaid principal. After such prepayment, the interest rate agreed herein shall continue to apply to the remaining outstanding principal.</w:t>
      </w:r>
    </w:p>
    <w:p>
      <w:pPr>
        <w:spacing w:after="0" w:line="165"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prepaid amount may not be drawn again.</w:t>
      </w:r>
    </w:p>
    <w:p>
      <w:pPr>
        <w:spacing w:after="0" w:line="209"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shall have no right to revoke any Prepayment Notice once sent.</w:t>
      </w:r>
    </w:p>
    <w:p>
      <w:pPr>
        <w:spacing w:after="0" w:line="217" w:lineRule="exact"/>
        <w:rPr>
          <w:rFonts w:ascii="Times New Roman" w:cs="Times New Roman" w:eastAsia="Times New Roman" w:hAnsi="Times New Roman"/>
          <w:sz w:val="19"/>
          <w:szCs w:val="19"/>
          <w:color w:val="auto"/>
        </w:rPr>
      </w:pPr>
    </w:p>
    <w:p>
      <w:pPr>
        <w:jc w:val="both"/>
        <w:ind w:right="40" w:firstLine="451"/>
        <w:spacing w:after="0" w:line="246" w:lineRule="auto"/>
        <w:tabs>
          <w:tab w:leader="none" w:pos="638"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prepaid by the Borrower shall be applied to reduce the principal of the Outstanding Loan Balance in the order of maturity of relevant Outstanding Loan Balance as set forth in Article VI (</w:t>
      </w:r>
      <w:r>
        <w:rPr>
          <w:rFonts w:ascii="Times New Roman" w:cs="Times New Roman" w:eastAsia="Times New Roman" w:hAnsi="Times New Roman"/>
          <w:sz w:val="19"/>
          <w:szCs w:val="19"/>
          <w:i w:val="1"/>
          <w:iCs w:val="1"/>
          <w:color w:val="auto"/>
        </w:rPr>
        <w:t>Repayment</w:t>
      </w:r>
      <w:r>
        <w:rPr>
          <w:rFonts w:ascii="Times New Roman" w:cs="Times New Roman" w:eastAsia="Times New Roman" w:hAnsi="Times New Roman"/>
          <w:sz w:val="19"/>
          <w:szCs w:val="19"/>
          <w:color w:val="auto"/>
        </w:rPr>
        <w:t>) hereof, following the rules set forth in Item [(2)] ((1) to prepay later maturing balance first; (2) to prepay earlier maturing balance first; (2) to reduce each installment of principal due after the prepayment date on a pro rata basis).</w:t>
      </w:r>
    </w:p>
    <w:p>
      <w:pPr>
        <w:spacing w:after="0" w:line="180" w:lineRule="exact"/>
        <w:rPr>
          <w:rFonts w:ascii="Times New Roman" w:cs="Times New Roman" w:eastAsia="Times New Roman" w:hAnsi="Times New Roman"/>
          <w:sz w:val="19"/>
          <w:szCs w:val="19"/>
          <w:color w:val="auto"/>
        </w:rPr>
      </w:pPr>
    </w:p>
    <w:p>
      <w:pPr>
        <w:jc w:val="both"/>
        <w:ind w:right="40" w:firstLine="451"/>
        <w:spacing w:after="0" w:line="241" w:lineRule="auto"/>
        <w:tabs>
          <w:tab w:leader="none" w:pos="63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undertakes that it will not voluntarily prepay the loan within two years after the disbursement of the loan. If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prepays the loan within two years after the disbursement after obtaining prior written consent of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pay a prepayment compensation fee to each Lender through the</w:t>
      </w:r>
      <w:r>
        <w:rPr>
          <w:rFonts w:ascii="Times New Roman" w:cs="Times New Roman" w:eastAsia="Times New Roman" w:hAnsi="Times New Roman"/>
          <w:sz w:val="19"/>
          <w:szCs w:val="19"/>
          <w:b w:val="1"/>
          <w:bCs w:val="1"/>
          <w:color w:val="auto"/>
        </w:rPr>
        <w:t xml:space="preserve"> Agent </w:t>
      </w:r>
      <w:r>
        <w:rPr>
          <w:rFonts w:ascii="Times New Roman" w:cs="Times New Roman" w:eastAsia="Times New Roman" w:hAnsi="Times New Roman"/>
          <w:sz w:val="19"/>
          <w:szCs w:val="19"/>
          <w:color w:val="auto"/>
        </w:rPr>
        <w:t>at the time of prepayment. The minimum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standard of such prepayment compensation fee shall be the amount calculated according to the following formula: Prepayment compensation fee = Prepaid principal amount × Prepayment days × [0.0005]%. The specific amount shall be subject to that agreed upon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After the expiry of two years from the disbursement of the loan,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voluntarily prepay the loan; provided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give a written notice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least one month in advance, and the prepayment date specified in the Prepayment Notice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 an Interest Payment Date. In such case, no prepayment compensation fee shall be payable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for the prepayment.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7.2  Voluntary Cancellation</w:t>
      </w:r>
    </w:p>
    <w:p>
      <w:pPr>
        <w:spacing w:after="0" w:line="214" w:lineRule="exact"/>
        <w:rPr>
          <w:sz w:val="20"/>
          <w:szCs w:val="20"/>
          <w:color w:val="auto"/>
        </w:rPr>
      </w:pPr>
    </w:p>
    <w:p>
      <w:pPr>
        <w:ind w:right="60" w:firstLine="451"/>
        <w:spacing w:after="0" w:line="270" w:lineRule="auto"/>
        <w:tabs>
          <w:tab w:leader="none" w:pos="637"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intends to cancel all or part of the </w:t>
      </w:r>
      <w:r>
        <w:rPr>
          <w:rFonts w:ascii="Times New Roman" w:cs="Times New Roman" w:eastAsia="Times New Roman" w:hAnsi="Times New Roman"/>
          <w:sz w:val="19"/>
          <w:szCs w:val="19"/>
          <w:b w:val="1"/>
          <w:bCs w:val="1"/>
          <w:color w:val="auto"/>
        </w:rPr>
        <w:t>Total Commitment</w:t>
      </w:r>
      <w:r>
        <w:rPr>
          <w:rFonts w:ascii="Times New Roman" w:cs="Times New Roman" w:eastAsia="Times New Roman" w:hAnsi="Times New Roman"/>
          <w:sz w:val="19"/>
          <w:szCs w:val="19"/>
          <w:color w:val="auto"/>
        </w:rPr>
        <w:t>, it shall send a notice (the “</w:t>
      </w:r>
      <w:r>
        <w:rPr>
          <w:rFonts w:ascii="Times New Roman" w:cs="Times New Roman" w:eastAsia="Times New Roman" w:hAnsi="Times New Roman"/>
          <w:sz w:val="19"/>
          <w:szCs w:val="19"/>
          <w:b w:val="1"/>
          <w:bCs w:val="1"/>
          <w:color w:val="auto"/>
        </w:rPr>
        <w:t>Cancellation Notice</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at least ten (10) </w:t>
      </w:r>
      <w:r>
        <w:rPr>
          <w:rFonts w:ascii="Times New Roman" w:cs="Times New Roman" w:eastAsia="Times New Roman" w:hAnsi="Times New Roman"/>
          <w:sz w:val="19"/>
          <w:szCs w:val="19"/>
          <w:b w:val="1"/>
          <w:bCs w:val="1"/>
          <w:color w:val="auto"/>
        </w:rPr>
        <w:t>Business Days</w:t>
      </w:r>
      <w:r>
        <w:rPr>
          <w:rFonts w:ascii="Times New Roman" w:cs="Times New Roman" w:eastAsia="Times New Roman" w:hAnsi="Times New Roman"/>
          <w:sz w:val="19"/>
          <w:szCs w:val="19"/>
          <w:color w:val="auto"/>
        </w:rPr>
        <w:t xml:space="preserve"> in advance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82"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18"/>
          <w:szCs w:val="18"/>
          <w:color w:val="auto"/>
        </w:rPr>
        <w:t xml:space="preserve">obtain the written consent of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(acting on the decision of the </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xml:space="preserve">); provided, however, that the cancelled Total Commitment shall not include any </w:t>
      </w:r>
      <w:r>
        <w:rPr>
          <w:rFonts w:ascii="Times New Roman" w:cs="Times New Roman" w:eastAsia="Times New Roman" w:hAnsi="Times New Roman"/>
          <w:sz w:val="18"/>
          <w:szCs w:val="18"/>
          <w:b w:val="1"/>
          <w:bCs w:val="1"/>
          <w:color w:val="auto"/>
        </w:rPr>
        <w:t>Loan Funds</w:t>
      </w:r>
      <w:r>
        <w:rPr>
          <w:rFonts w:ascii="Times New Roman" w:cs="Times New Roman" w:eastAsia="Times New Roman" w:hAnsi="Times New Roman"/>
          <w:sz w:val="18"/>
          <w:szCs w:val="18"/>
          <w:color w:val="auto"/>
        </w:rPr>
        <w:t xml:space="preserve"> required to be drawn under any </w:t>
      </w:r>
      <w:r>
        <w:rPr>
          <w:rFonts w:ascii="Times New Roman" w:cs="Times New Roman" w:eastAsia="Times New Roman" w:hAnsi="Times New Roman"/>
          <w:sz w:val="18"/>
          <w:szCs w:val="18"/>
          <w:b w:val="1"/>
          <w:bCs w:val="1"/>
          <w:color w:val="auto"/>
        </w:rPr>
        <w:t>Drawdown Notice</w:t>
      </w:r>
      <w:r>
        <w:rPr>
          <w:rFonts w:ascii="Times New Roman" w:cs="Times New Roman" w:eastAsia="Times New Roman" w:hAnsi="Times New Roman"/>
          <w:sz w:val="18"/>
          <w:szCs w:val="18"/>
          <w:color w:val="auto"/>
        </w:rPr>
        <w:t xml:space="preserve"> sent pursuant to the terms of this Contract but not yet drawn.</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2. The said </w:t>
      </w:r>
      <w:r>
        <w:rPr>
          <w:rFonts w:ascii="Times New Roman" w:cs="Times New Roman" w:eastAsia="Times New Roman" w:hAnsi="Times New Roman"/>
          <w:sz w:val="19"/>
          <w:szCs w:val="19"/>
          <w:b w:val="1"/>
          <w:bCs w:val="1"/>
          <w:u w:val="single" w:color="auto"/>
          <w:color w:val="auto"/>
        </w:rPr>
        <w:t>Cancellation Notice</w:t>
      </w:r>
      <w:r>
        <w:rPr>
          <w:rFonts w:ascii="Times New Roman" w:cs="Times New Roman" w:eastAsia="Times New Roman" w:hAnsi="Times New Roman"/>
          <w:sz w:val="19"/>
          <w:szCs w:val="19"/>
          <w:color w:val="auto"/>
        </w:rPr>
        <w:t xml:space="preserve"> shall specify the amount of the Total Commitment to be cancelled by the Borrower and the cancellation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90" w:lineRule="exact"/>
        <w:rPr>
          <w:sz w:val="20"/>
          <w:szCs w:val="20"/>
          <w:color w:val="auto"/>
        </w:rPr>
      </w:pPr>
    </w:p>
    <w:p>
      <w:pPr>
        <w:ind w:right="40" w:firstLine="451"/>
        <w:spacing w:after="0" w:line="270" w:lineRule="auto"/>
        <w:tabs>
          <w:tab w:leader="none" w:pos="651"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only intends to cancel part of the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the cancelled amount shall be no less than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 xml:space="preserve"> [/] (In words: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Only) and shall be an integral multiple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(In words:</w:t>
      </w:r>
      <w:r>
        <w:rPr>
          <w:rFonts w:ascii="Times New Roman" w:cs="Times New Roman" w:eastAsia="Times New Roman" w:hAnsi="Times New Roman"/>
          <w:sz w:val="19"/>
          <w:szCs w:val="19"/>
          <w:b w:val="1"/>
          <w:bCs w:val="1"/>
          <w:color w:val="auto"/>
        </w:rPr>
        <w:t xml:space="preserve"> RMB </w:t>
      </w:r>
      <w:r>
        <w:rPr>
          <w:rFonts w:ascii="Times New Roman" w:cs="Times New Roman" w:eastAsia="Times New Roman" w:hAnsi="Times New Roman"/>
          <w:sz w:val="19"/>
          <w:szCs w:val="19"/>
          <w:color w:val="auto"/>
        </w:rPr>
        <w:t>[/] Only).</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632"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cancellation of the Total Commitment shall take effect on the cancellation date specified in the </w:t>
      </w:r>
      <w:r>
        <w:rPr>
          <w:rFonts w:ascii="Times New Roman" w:cs="Times New Roman" w:eastAsia="Times New Roman" w:hAnsi="Times New Roman"/>
          <w:sz w:val="19"/>
          <w:szCs w:val="19"/>
          <w:b w:val="1"/>
          <w:bCs w:val="1"/>
          <w:color w:val="auto"/>
        </w:rPr>
        <w:t>Cancellation Notice</w:t>
      </w:r>
      <w:r>
        <w:rPr>
          <w:rFonts w:ascii="Times New Roman" w:cs="Times New Roman" w:eastAsia="Times New Roman" w:hAnsi="Times New Roman"/>
          <w:sz w:val="19"/>
          <w:szCs w:val="19"/>
          <w:color w:val="auto"/>
        </w:rPr>
        <w:t xml:space="preserve">, which shall be a </w:t>
      </w:r>
      <w:r>
        <w:rPr>
          <w:rFonts w:ascii="Times New Roman" w:cs="Times New Roman" w:eastAsia="Times New Roman" w:hAnsi="Times New Roman"/>
          <w:sz w:val="19"/>
          <w:szCs w:val="19"/>
          <w:b w:val="1"/>
          <w:bCs w:val="1"/>
          <w:color w:val="auto"/>
        </w:rPr>
        <w:t xml:space="preserve">Business Day </w:t>
      </w:r>
      <w:r>
        <w:rPr>
          <w:rFonts w:ascii="Times New Roman" w:cs="Times New Roman" w:eastAsia="Times New Roman" w:hAnsi="Times New Roman"/>
          <w:sz w:val="19"/>
          <w:szCs w:val="19"/>
          <w:color w:val="auto"/>
        </w:rPr>
        <w:t>within the</w:t>
      </w:r>
      <w:r>
        <w:rPr>
          <w:rFonts w:ascii="Times New Roman" w:cs="Times New Roman" w:eastAsia="Times New Roman" w:hAnsi="Times New Roman"/>
          <w:sz w:val="19"/>
          <w:szCs w:val="19"/>
          <w:b w:val="1"/>
          <w:bCs w:val="1"/>
          <w:color w:val="auto"/>
        </w:rPr>
        <w:t xml:space="preserve"> Drawdown Period</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cancellation shall take effect on the date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receives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’s notice of consent to cancellation.</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637"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cancels the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be reduced on a pro rata basis from the effective date of cancellation.</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pay all syndicate fees hereunder in full prior to the cancellation date.</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cancelled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may not be reinstated.</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have no right to revoke any </w:t>
      </w:r>
      <w:r>
        <w:rPr>
          <w:rFonts w:ascii="Times New Roman" w:cs="Times New Roman" w:eastAsia="Times New Roman" w:hAnsi="Times New Roman"/>
          <w:sz w:val="19"/>
          <w:szCs w:val="19"/>
          <w:b w:val="1"/>
          <w:bCs w:val="1"/>
          <w:u w:val="single" w:color="auto"/>
          <w:color w:val="auto"/>
        </w:rPr>
        <w:t>Cancellation Notice</w:t>
      </w:r>
      <w:r>
        <w:rPr>
          <w:rFonts w:ascii="Times New Roman" w:cs="Times New Roman" w:eastAsia="Times New Roman" w:hAnsi="Times New Roman"/>
          <w:sz w:val="19"/>
          <w:szCs w:val="19"/>
          <w:color w:val="auto"/>
        </w:rPr>
        <w:t xml:space="preserve"> once sent.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7.3  Automatic Cancellation</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Unless otherwise agreed by all Parties hereto, after the expiry of the </w:t>
      </w:r>
      <w:r>
        <w:rPr>
          <w:rFonts w:ascii="Times New Roman" w:cs="Times New Roman" w:eastAsia="Times New Roman" w:hAnsi="Times New Roman"/>
          <w:sz w:val="19"/>
          <w:szCs w:val="19"/>
          <w:b w:val="1"/>
          <w:bCs w:val="1"/>
          <w:u w:val="single" w:color="auto"/>
          <w:color w:val="auto"/>
        </w:rPr>
        <w:t>Drawdown Period</w:t>
      </w:r>
      <w:r>
        <w:rPr>
          <w:rFonts w:ascii="Times New Roman" w:cs="Times New Roman" w:eastAsia="Times New Roman" w:hAnsi="Times New Roman"/>
          <w:sz w:val="19"/>
          <w:szCs w:val="19"/>
          <w:color w:val="auto"/>
        </w:rPr>
        <w:t xml:space="preserve">, the portion of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undrawn by the Borrower at that time shall be automatically cancelled and may not be reinstated.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7.4  Mandatory Cancellation</w:t>
      </w:r>
    </w:p>
    <w:p>
      <w:pPr>
        <w:spacing w:after="0" w:line="214" w:lineRule="exact"/>
        <w:rPr>
          <w:sz w:val="20"/>
          <w:szCs w:val="20"/>
          <w:color w:val="auto"/>
        </w:rPr>
      </w:pPr>
    </w:p>
    <w:p>
      <w:pPr>
        <w:ind w:left="640" w:hanging="189"/>
        <w:spacing w:after="0"/>
        <w:tabs>
          <w:tab w:leader="none" w:pos="6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b w:val="1"/>
          <w:bCs w:val="1"/>
          <w:u w:val="single" w:color="auto"/>
          <w:color w:val="auto"/>
        </w:rPr>
        <w:t>Affected Lenders</w:t>
      </w:r>
      <w:r>
        <w:rPr>
          <w:rFonts w:ascii="Times New Roman" w:cs="Times New Roman" w:eastAsia="Times New Roman" w:hAnsi="Times New Roman"/>
          <w:sz w:val="19"/>
          <w:szCs w:val="19"/>
          <w:color w:val="auto"/>
        </w:rPr>
        <w:t xml:space="preserve"> shall be cancelled in accordance with the provisions of Article XII (</w:t>
      </w:r>
      <w:r>
        <w:rPr>
          <w:rFonts w:ascii="Times New Roman" w:cs="Times New Roman" w:eastAsia="Times New Roman" w:hAnsi="Times New Roman"/>
          <w:sz w:val="19"/>
          <w:szCs w:val="19"/>
          <w:i w:val="1"/>
          <w:iCs w:val="1"/>
          <w:color w:val="auto"/>
        </w:rPr>
        <w:t>Changes in Law</w:t>
      </w:r>
      <w:r>
        <w:rPr>
          <w:rFonts w:ascii="Times New Roman" w:cs="Times New Roman" w:eastAsia="Times New Roman" w:hAnsi="Times New Roman"/>
          <w:sz w:val="19"/>
          <w:szCs w:val="19"/>
          <w:color w:val="auto"/>
        </w:rPr>
        <w:t>) hereof.</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change of control occurs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720" w:hanging="269"/>
        <w:spacing w:after="0"/>
        <w:tabs>
          <w:tab w:leader="none" w:pos="72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as soon as practicable after becoming aware of the change of control event;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be obliged to provide any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for any drawdown; and</w:t>
      </w:r>
    </w:p>
    <w:p>
      <w:pPr>
        <w:spacing w:after="0" w:line="21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71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may, after giving not less than ten (10)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prior notice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prepay the loan and cancel the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and all loans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shall become due and payable on the date specified in such notice.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For the purpose of the foregoing, “change of control” means [a change in the controlling shareholder of the Borrower].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7.5  Mandatory Prepayment</w:t>
      </w:r>
    </w:p>
    <w:p>
      <w:pPr>
        <w:spacing w:after="0" w:line="214" w:lineRule="exact"/>
        <w:rPr>
          <w:sz w:val="20"/>
          <w:szCs w:val="20"/>
          <w:color w:val="auto"/>
        </w:rPr>
      </w:pPr>
    </w:p>
    <w:p>
      <w:pPr>
        <w:ind w:right="60" w:firstLine="451"/>
        <w:spacing w:after="0" w:line="270" w:lineRule="auto"/>
        <w:tabs>
          <w:tab w:leader="none" w:pos="653"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fund balance in the </w:t>
      </w:r>
      <w:r>
        <w:rPr>
          <w:rFonts w:ascii="Times New Roman" w:cs="Times New Roman" w:eastAsia="Times New Roman" w:hAnsi="Times New Roman"/>
          <w:sz w:val="19"/>
          <w:szCs w:val="19"/>
          <w:b w:val="1"/>
          <w:bCs w:val="1"/>
          <w:u w:val="single" w:color="auto"/>
          <w:color w:val="auto"/>
        </w:rPr>
        <w:t>Borrower’s Repayment Reserve Account</w:t>
      </w:r>
      <w:r>
        <w:rPr>
          <w:rFonts w:ascii="Times New Roman" w:cs="Times New Roman" w:eastAsia="Times New Roman" w:hAnsi="Times New Roman"/>
          <w:sz w:val="19"/>
          <w:szCs w:val="19"/>
          <w:color w:val="auto"/>
        </w:rPr>
        <w:t xml:space="preserve"> is insufficient to repay the principal and interest payable for the current installment fifteen (15) Business Days prior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8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Repayment Date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u w:val="single" w:color="auto"/>
          <w:color w:val="auto"/>
        </w:rPr>
        <w:t>Interest Payment Date</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shall have the right to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prepay the loan,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make the prepayment as per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’s requirement accordingly.</w:t>
      </w:r>
    </w:p>
    <w:p>
      <w:pPr>
        <w:spacing w:after="0" w:line="156" w:lineRule="exact"/>
        <w:rPr>
          <w:sz w:val="20"/>
          <w:szCs w:val="20"/>
          <w:color w:val="auto"/>
        </w:rPr>
      </w:pPr>
    </w:p>
    <w:p>
      <w:pPr>
        <w:jc w:val="both"/>
        <w:ind w:right="40" w:firstLine="451"/>
        <w:spacing w:after="0" w:line="253" w:lineRule="auto"/>
        <w:tabs>
          <w:tab w:leader="none" w:pos="64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during the Loan Term,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obtains any of the following additional cash flow, it shall voluntarily use all such additional cash flow to prepay the loan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Otherwise,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shall have the right to directly debit such amount or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deposit such additional cash flow into an account designated by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for prepayment without prior notice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left="720" w:hanging="269"/>
        <w:spacing w:after="0"/>
        <w:tabs>
          <w:tab w:leader="none" w:pos="72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Funds raised through public or non-public issuance of shares or bonds;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Proceeds from the sale of assets exceeding 10% of the audited net assets in the most recent Fiscal Year;</w:t>
      </w:r>
    </w:p>
    <w:p>
      <w:pPr>
        <w:spacing w:after="0" w:line="209"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Proceeds from the transfer of its target assets with the consent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7" w:lineRule="exact"/>
        <w:rPr>
          <w:rFonts w:ascii="Times New Roman" w:cs="Times New Roman" w:eastAsia="Times New Roman" w:hAnsi="Times New Roman"/>
          <w:sz w:val="19"/>
          <w:szCs w:val="19"/>
          <w:color w:val="auto"/>
        </w:rPr>
      </w:pPr>
    </w:p>
    <w:p>
      <w:pPr>
        <w:ind w:right="60" w:firstLine="451"/>
        <w:spacing w:after="0" w:line="265" w:lineRule="auto"/>
        <w:tabs>
          <w:tab w:leader="none" w:pos="725"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Insurance indemnities or compensation obtained due to damage or loss of the target assets after the Borrower acquires the target assets with the loan;</w:t>
      </w:r>
    </w:p>
    <w:p>
      <w:pPr>
        <w:spacing w:after="0" w:line="161"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additional cash flow recognized by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right="60" w:firstLine="451"/>
        <w:spacing w:after="0" w:line="253" w:lineRule="auto"/>
        <w:tabs>
          <w:tab w:leader="none" w:pos="668"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ultimately fails to complete the M&amp;A Transaction in accordance with the standards agreed in the relevant M&amp;A agreement,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shall have the right to declare the loan hereunder due in advance, and, in such case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immediately repay the principal and interest of the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VIII. Payment Provisions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8.1  Disbursement of Loan Funds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Each Lender shall pay its respective share of Commitment in the Loan Funds to be drawn to the </w:t>
      </w:r>
      <w:r>
        <w:rPr>
          <w:rFonts w:ascii="Times New Roman" w:cs="Times New Roman" w:eastAsia="Times New Roman" w:hAnsi="Times New Roman"/>
          <w:sz w:val="19"/>
          <w:szCs w:val="19"/>
          <w:b w:val="1"/>
          <w:bCs w:val="1"/>
          <w:u w:val="single" w:color="auto"/>
          <w:color w:val="auto"/>
        </w:rPr>
        <w:t>Agent’s Payment Account</w:t>
      </w:r>
      <w:r>
        <w:rPr>
          <w:rFonts w:ascii="Times New Roman" w:cs="Times New Roman" w:eastAsia="Times New Roman" w:hAnsi="Times New Roman"/>
          <w:sz w:val="19"/>
          <w:szCs w:val="19"/>
          <w:color w:val="auto"/>
        </w:rPr>
        <w:t xml:space="preserve"> specified in Schedule 4 (</w:t>
      </w:r>
      <w:r>
        <w:rPr>
          <w:rFonts w:ascii="Times New Roman" w:cs="Times New Roman" w:eastAsia="Times New Roman" w:hAnsi="Times New Roman"/>
          <w:sz w:val="19"/>
          <w:szCs w:val="19"/>
          <w:i w:val="1"/>
          <w:iCs w:val="1"/>
          <w:color w:val="auto"/>
        </w:rPr>
        <w:t>Accounts of the Parties</w:t>
      </w:r>
      <w:r>
        <w:rPr>
          <w:rFonts w:ascii="Times New Roman" w:cs="Times New Roman" w:eastAsia="Times New Roman" w:hAnsi="Times New Roman"/>
          <w:sz w:val="19"/>
          <w:szCs w:val="19"/>
          <w:color w:val="auto"/>
        </w:rPr>
        <w:t xml:space="preserve">) prior to 16:00 (Beijing time) on the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xml:space="preserve"> specified in Schedule 8 (</w:t>
      </w:r>
      <w:r>
        <w:rPr>
          <w:rFonts w:ascii="Times New Roman" w:cs="Times New Roman" w:eastAsia="Times New Roman" w:hAnsi="Times New Roman"/>
          <w:sz w:val="19"/>
          <w:szCs w:val="19"/>
          <w:i w:val="1"/>
          <w:iCs w:val="1"/>
          <w:color w:val="auto"/>
        </w:rPr>
        <w:t>Form of Participation Notice</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fails to disburse its share of Commitment in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 be drawn,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still draw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disbursed by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in accordance with the Drawdown Notice.</w:t>
      </w:r>
    </w:p>
    <w:p>
      <w:pPr>
        <w:spacing w:after="0" w:line="156"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disburse its respective share of Commitment in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 be drawn by the Borrower pro rata according to its </w:t>
      </w:r>
      <w:r>
        <w:rPr>
          <w:rFonts w:ascii="Times New Roman" w:cs="Times New Roman" w:eastAsia="Times New Roman" w:hAnsi="Times New Roman"/>
          <w:sz w:val="19"/>
          <w:szCs w:val="19"/>
          <w:b w:val="1"/>
          <w:bCs w:val="1"/>
          <w:u w:val="single" w:color="auto"/>
          <w:color w:val="auto"/>
        </w:rPr>
        <w:t>Commitment Ratio</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shall have the right to, based on the Borrower’s credit standing or other circumstances that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deems necessary to consider, decide whether to suspend the disbursement of the loan hereunder, and such suspension of disbursement shall not constitute a breach by the Syndicate.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8.2  Payment of Loan Funds</w:t>
      </w:r>
    </w:p>
    <w:p>
      <w:pPr>
        <w:spacing w:after="0" w:line="218" w:lineRule="exact"/>
        <w:rPr>
          <w:sz w:val="20"/>
          <w:szCs w:val="20"/>
          <w:color w:val="auto"/>
        </w:rPr>
      </w:pPr>
    </w:p>
    <w:p>
      <w:pPr>
        <w:ind w:left="640" w:hanging="189"/>
        <w:spacing w:after="0"/>
        <w:tabs>
          <w:tab w:leader="none" w:pos="640"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Funds hereunder shall be paid by the method set forth in Item [(1)] below:</w:t>
      </w:r>
    </w:p>
    <w:p>
      <w:pPr>
        <w:spacing w:after="0" w:line="213" w:lineRule="exact"/>
        <w:rPr>
          <w:rFonts w:ascii="Times New Roman" w:cs="Times New Roman" w:eastAsia="Times New Roman" w:hAnsi="Times New Roman"/>
          <w:sz w:val="19"/>
          <w:szCs w:val="19"/>
          <w:color w:val="auto"/>
        </w:rPr>
      </w:pPr>
    </w:p>
    <w:p>
      <w:pPr>
        <w:ind w:left="4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 All by “entrusted payment”;</w:t>
      </w:r>
    </w:p>
    <w:p>
      <w:pPr>
        <w:spacing w:after="0" w:line="213" w:lineRule="exact"/>
        <w:rPr>
          <w:rFonts w:ascii="Times New Roman" w:cs="Times New Roman" w:eastAsia="Times New Roman" w:hAnsi="Times New Roman"/>
          <w:sz w:val="19"/>
          <w:szCs w:val="19"/>
          <w:color w:val="auto"/>
        </w:rPr>
      </w:pPr>
    </w:p>
    <w:p>
      <w:pPr>
        <w:ind w:left="460" w:right="1880"/>
        <w:spacing w:after="0" w:line="50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 By “self-payment”; provided that “entrusted payment” shall be adopted under any of the following circumstances: The single payment amount exceeds RMB [/] Only.</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82" w:lineRule="exact"/>
        <w:rPr>
          <w:sz w:val="20"/>
          <w:szCs w:val="20"/>
          <w:color w:val="auto"/>
        </w:rPr>
      </w:pPr>
    </w:p>
    <w:p>
      <w:pPr>
        <w:jc w:val="both"/>
        <w:ind w:right="40" w:firstLine="451"/>
        <w:spacing w:after="0" w:line="253" w:lineRule="auto"/>
        <w:tabs>
          <w:tab w:leader="none" w:pos="632"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“Entrusted payment” means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in accordance with the Drawdown Notice and payment instruction sent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disburse each Loan Fund to the </w:t>
      </w:r>
      <w:r>
        <w:rPr>
          <w:rFonts w:ascii="Times New Roman" w:cs="Times New Roman" w:eastAsia="Times New Roman" w:hAnsi="Times New Roman"/>
          <w:sz w:val="19"/>
          <w:szCs w:val="19"/>
          <w:b w:val="1"/>
          <w:bCs w:val="1"/>
          <w:u w:val="single" w:color="auto"/>
          <w:color w:val="auto"/>
        </w:rPr>
        <w:t>Loan Account</w:t>
      </w:r>
      <w:r>
        <w:rPr>
          <w:rFonts w:ascii="Times New Roman" w:cs="Times New Roman" w:eastAsia="Times New Roman" w:hAnsi="Times New Roman"/>
          <w:sz w:val="19"/>
          <w:szCs w:val="19"/>
          <w:color w:val="auto"/>
        </w:rPr>
        <w:t xml:space="preserve"> (as set forth in Schedule 4 (</w:t>
      </w:r>
      <w:r>
        <w:rPr>
          <w:rFonts w:ascii="Times New Roman" w:cs="Times New Roman" w:eastAsia="Times New Roman" w:hAnsi="Times New Roman"/>
          <w:sz w:val="19"/>
          <w:szCs w:val="19"/>
          <w:i w:val="1"/>
          <w:iCs w:val="1"/>
          <w:color w:val="auto"/>
        </w:rPr>
        <w:t>Accounts of the Parties</w:t>
      </w:r>
      <w:r>
        <w:rPr>
          <w:rFonts w:ascii="Times New Roman" w:cs="Times New Roman" w:eastAsia="Times New Roman" w:hAnsi="Times New Roman"/>
          <w:sz w:val="19"/>
          <w:szCs w:val="19"/>
          <w:color w:val="auto"/>
        </w:rPr>
        <w:t xml:space="preserve">)) on each Drawdown Date, and promptly transfer the relevant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Counterparty Account.</w:t>
      </w:r>
    </w:p>
    <w:p>
      <w:pPr>
        <w:spacing w:after="0" w:line="173"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Prior to the disbursement of each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submit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true, complete and valid payment application, payment instruction, supporting documents for the purpose of the Loan Funds affixed with valid seals, loan debit notes, fund payment business vouchers and other relevant materials.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disburse the Loan Funds only after it reviews and approves the materials at its sole discretion. No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be liable for the authenticity or legality of any “entrusted payment” made under the entrustment of the Borrower.</w:t>
      </w:r>
    </w:p>
    <w:p>
      <w:pPr>
        <w:spacing w:after="0" w:line="177" w:lineRule="exact"/>
        <w:rPr>
          <w:sz w:val="20"/>
          <w:szCs w:val="20"/>
          <w:color w:val="auto"/>
        </w:rPr>
      </w:pPr>
    </w:p>
    <w:p>
      <w:pPr>
        <w:jc w:val="both"/>
        <w:ind w:right="40" w:firstLine="451"/>
        <w:spacing w:after="0" w:line="248" w:lineRule="auto"/>
        <w:tabs>
          <w:tab w:leader="none" w:pos="634"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“Self payment” means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disburse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Loan Account</w:t>
      </w:r>
      <w:r>
        <w:rPr>
          <w:rFonts w:ascii="Times New Roman" w:cs="Times New Roman" w:eastAsia="Times New Roman" w:hAnsi="Times New Roman"/>
          <w:sz w:val="19"/>
          <w:szCs w:val="19"/>
          <w:color w:val="auto"/>
        </w:rPr>
        <w:t xml:space="preserve"> in accordance with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Drawdown Notice, and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make external payments by itself; provided that the payees of such self-payments shall be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counterparty as agreed herein. In the case of self-payment, the Borrower shall submit a monthly summary report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on the payment status of each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as required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have the right to change the payment method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from “self-payment” to “entrusted payment” under any of the following circumstances:</w:t>
      </w:r>
    </w:p>
    <w:p>
      <w:pPr>
        <w:spacing w:after="0" w:line="156" w:lineRule="exact"/>
        <w:rPr>
          <w:sz w:val="20"/>
          <w:szCs w:val="20"/>
          <w:color w:val="auto"/>
        </w:rPr>
      </w:pPr>
    </w:p>
    <w:p>
      <w:pPr>
        <w:ind w:left="720" w:hanging="269"/>
        <w:spacing w:after="0"/>
        <w:tabs>
          <w:tab w:leader="none" w:pos="72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credit standing deteriorates;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use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for the purposes as agreed herein;</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circumstances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deems necessary to change the payment method.</w:t>
      </w:r>
    </w:p>
    <w:p>
      <w:pPr>
        <w:spacing w:after="0" w:line="214" w:lineRule="exact"/>
        <w:rPr>
          <w:sz w:val="20"/>
          <w:szCs w:val="20"/>
          <w:color w:val="auto"/>
        </w:rPr>
      </w:pPr>
    </w:p>
    <w:p>
      <w:pPr>
        <w:ind w:right="60" w:firstLine="451"/>
        <w:spacing w:after="0" w:line="270" w:lineRule="auto"/>
        <w:tabs>
          <w:tab w:leader="none" w:pos="662"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of the following circumstances occurs during the performance of this Contract,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suspend the disbursement and payment of relevant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right="40" w:firstLine="451"/>
        <w:spacing w:after="0" w:line="270" w:lineRule="auto"/>
        <w:tabs>
          <w:tab w:leader="none" w:pos="711"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breaches this Contract by splitting a large payment into multiple small payments to avoid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entrusted payment requirements;</w:t>
      </w:r>
    </w:p>
    <w:p>
      <w:pPr>
        <w:spacing w:after="0" w:line="15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circumstances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deems necessary to suspend the disbursement and payment of Loan Funds.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8.3  Payments by the Borrower</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pay all amounts due and payable hereunder to the </w:t>
      </w:r>
      <w:r>
        <w:rPr>
          <w:rFonts w:ascii="Times New Roman" w:cs="Times New Roman" w:eastAsia="Times New Roman" w:hAnsi="Times New Roman"/>
          <w:sz w:val="19"/>
          <w:szCs w:val="19"/>
          <w:b w:val="1"/>
          <w:bCs w:val="1"/>
          <w:u w:val="single" w:color="auto"/>
          <w:color w:val="auto"/>
        </w:rPr>
        <w:t>Agent’s Payment Account</w:t>
      </w:r>
      <w:r>
        <w:rPr>
          <w:rFonts w:ascii="Times New Roman" w:cs="Times New Roman" w:eastAsia="Times New Roman" w:hAnsi="Times New Roman"/>
          <w:sz w:val="19"/>
          <w:szCs w:val="19"/>
          <w:color w:val="auto"/>
        </w:rPr>
        <w:t xml:space="preserve"> prior to [17:00] (Beijing time) on the due date of any such amount, as required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payment to the </w:t>
      </w:r>
      <w:r>
        <w:rPr>
          <w:rFonts w:ascii="Times New Roman" w:cs="Times New Roman" w:eastAsia="Times New Roman" w:hAnsi="Times New Roman"/>
          <w:sz w:val="19"/>
          <w:szCs w:val="19"/>
          <w:b w:val="1"/>
          <w:bCs w:val="1"/>
          <w:u w:val="single" w:color="auto"/>
          <w:color w:val="auto"/>
        </w:rPr>
        <w:t>Agent’s Payment Account</w:t>
      </w:r>
      <w:r>
        <w:rPr>
          <w:rFonts w:ascii="Times New Roman" w:cs="Times New Roman" w:eastAsia="Times New Roman" w:hAnsi="Times New Roman"/>
          <w:sz w:val="19"/>
          <w:szCs w:val="19"/>
          <w:color w:val="auto"/>
        </w:rPr>
        <w:t xml:space="preserve"> shall constitute its timely and successful repayment, and the Lenders shall not treat the Borrower as overdue for any reason (except where successful repayment is prevented due to any reason attributable to the Borrower such as the account being frozen or debited by competent authorities).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8.4  Payments by the Agent</w:t>
      </w:r>
    </w:p>
    <w:p>
      <w:pPr>
        <w:spacing w:after="0" w:line="214" w:lineRule="exact"/>
        <w:rPr>
          <w:sz w:val="20"/>
          <w:szCs w:val="20"/>
          <w:color w:val="auto"/>
        </w:rPr>
      </w:pPr>
    </w:p>
    <w:p>
      <w:pPr>
        <w:jc w:val="both"/>
        <w:ind w:right="40" w:firstLine="451"/>
        <w:spacing w:after="0" w:line="253" w:lineRule="auto"/>
        <w:tabs>
          <w:tab w:leader="none" w:pos="63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transfer the relevant Loan Funds actually received by it pursuant to Article 8.1 (</w:t>
      </w:r>
      <w:r>
        <w:rPr>
          <w:rFonts w:ascii="Times New Roman" w:cs="Times New Roman" w:eastAsia="Times New Roman" w:hAnsi="Times New Roman"/>
          <w:sz w:val="19"/>
          <w:szCs w:val="19"/>
          <w:i w:val="1"/>
          <w:iCs w:val="1"/>
          <w:color w:val="auto"/>
        </w:rPr>
        <w:t>Disbursement of Loan Funds</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Account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17:00 (Beijing time) on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Drawdown Date</w:t>
      </w:r>
      <w:r>
        <w:rPr>
          <w:rFonts w:ascii="Times New Roman" w:cs="Times New Roman" w:eastAsia="Times New Roman" w:hAnsi="Times New Roman"/>
          <w:sz w:val="19"/>
          <w:szCs w:val="19"/>
          <w:color w:val="auto"/>
        </w:rPr>
        <w:t>, and shall make payments in accordance with relevant provisions of Article 8.2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Payment of Loan Funds</w:t>
      </w:r>
      <w:r>
        <w:rPr>
          <w:rFonts w:ascii="Times New Roman" w:cs="Times New Roman" w:eastAsia="Times New Roman" w:hAnsi="Times New Roman"/>
          <w:sz w:val="19"/>
          <w:szCs w:val="19"/>
          <w:color w:val="auto"/>
        </w:rPr>
        <w:t>) hereof.</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3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within </w:t>
      </w:r>
      <w:r>
        <w:rPr>
          <w:rFonts w:ascii="Times New Roman" w:cs="Times New Roman" w:eastAsia="Times New Roman" w:hAnsi="Times New Roman"/>
          <w:sz w:val="19"/>
          <w:szCs w:val="19"/>
          <w:b w:val="1"/>
          <w:bCs w:val="1"/>
          <w:u w:val="single" w:color="auto"/>
          <w:color w:val="auto"/>
        </w:rPr>
        <w:t>three Business Days</w:t>
      </w:r>
      <w:r>
        <w:rPr>
          <w:rFonts w:ascii="Times New Roman" w:cs="Times New Roman" w:eastAsia="Times New Roman" w:hAnsi="Times New Roman"/>
          <w:sz w:val="19"/>
          <w:szCs w:val="19"/>
          <w:color w:val="auto"/>
        </w:rPr>
        <w:t xml:space="preserve"> after receipt of each amount actually received by it pursuant to Article 8.3 (</w:t>
      </w:r>
      <w:r>
        <w:rPr>
          <w:rFonts w:ascii="Times New Roman" w:cs="Times New Roman" w:eastAsia="Times New Roman" w:hAnsi="Times New Roman"/>
          <w:sz w:val="19"/>
          <w:szCs w:val="19"/>
          <w:i w:val="1"/>
          <w:iCs w:val="1"/>
          <w:color w:val="auto"/>
        </w:rPr>
        <w:t>Payments by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distribute such amount to the account of each Lender specified in Schedule 4 (</w:t>
      </w:r>
      <w:r>
        <w:rPr>
          <w:rFonts w:ascii="Times New Roman" w:cs="Times New Roman" w:eastAsia="Times New Roman" w:hAnsi="Times New Roman"/>
          <w:sz w:val="19"/>
          <w:szCs w:val="19"/>
          <w:i w:val="1"/>
          <w:iCs w:val="1"/>
          <w:color w:val="auto"/>
        </w:rPr>
        <w:t>Accounts of the Parties</w:t>
      </w:r>
      <w:r>
        <w:rPr>
          <w:rFonts w:ascii="Times New Roman" w:cs="Times New Roman" w:eastAsia="Times New Roman" w:hAnsi="Times New Roman"/>
          <w:sz w:val="19"/>
          <w:szCs w:val="19"/>
          <w:color w:val="auto"/>
        </w:rPr>
        <w:t>) in the order specified in Article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8.5 (</w:t>
      </w:r>
      <w:r>
        <w:rPr>
          <w:rFonts w:ascii="Times New Roman" w:cs="Times New Roman" w:eastAsia="Times New Roman" w:hAnsi="Times New Roman"/>
          <w:sz w:val="19"/>
          <w:szCs w:val="19"/>
          <w:i w:val="1"/>
          <w:iCs w:val="1"/>
          <w:color w:val="auto"/>
        </w:rPr>
        <w:t>Application of Payments</w:t>
      </w:r>
      <w:r>
        <w:rPr>
          <w:rFonts w:ascii="Times New Roman" w:cs="Times New Roman" w:eastAsia="Times New Roman" w:hAnsi="Times New Roman"/>
          <w:sz w:val="19"/>
          <w:szCs w:val="19"/>
          <w:color w:val="auto"/>
        </w:rPr>
        <w:t>) hereof and on a pro rata basis.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82" w:lineRule="exact"/>
        <w:rPr>
          <w:sz w:val="20"/>
          <w:szCs w:val="20"/>
          <w:color w:val="auto"/>
        </w:rPr>
      </w:pPr>
    </w:p>
    <w:p>
      <w:pPr>
        <w:jc w:val="both"/>
        <w:ind w:right="40" w:firstLine="451"/>
        <w:spacing w:after="0" w:line="253" w:lineRule="auto"/>
        <w:tabs>
          <w:tab w:leader="none" w:pos="647"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entrusted payment, if the entrusted payment information and relevant transaction materials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are untrue, inaccurate or incomplete,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have the right to refuse payment without any liability therefor; provided that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repayment obligations hereunder shall not be affected in any way.</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31" w:lineRule="exact"/>
        <w:tabs>
          <w:tab w:leader="none" w:pos="64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fails to timely pay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to the Borrower’s counterparty due to a refund from the bank holding the </w:t>
      </w:r>
      <w:r>
        <w:rPr>
          <w:rFonts w:ascii="Times New Roman" w:cs="Times New Roman" w:eastAsia="Times New Roman" w:hAnsi="Times New Roman"/>
          <w:sz w:val="19"/>
          <w:szCs w:val="19"/>
          <w:b w:val="1"/>
          <w:bCs w:val="1"/>
          <w:u w:val="single" w:color="auto"/>
          <w:color w:val="auto"/>
        </w:rPr>
        <w:t>Borrower’s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Counterparty Account</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not be liable therefor; provided that the Borrower’s repayment obligations hereunder shall not be affected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any way.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have the right to freeze the refunded amount. In such case,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re-submit the payment instruction, supporting documents for the purpose of the loan and other materials in accordance with Paragraph 1, Article 8.2 (</w:t>
      </w:r>
      <w:r>
        <w:rPr>
          <w:rFonts w:ascii="Times New Roman" w:cs="Times New Roman" w:eastAsia="Times New Roman" w:hAnsi="Times New Roman"/>
          <w:sz w:val="19"/>
          <w:szCs w:val="19"/>
          <w:i w:val="1"/>
          <w:iCs w:val="1"/>
          <w:color w:val="auto"/>
        </w:rPr>
        <w:t>Payment of Loan Funds</w:t>
      </w:r>
      <w:r>
        <w:rPr>
          <w:rFonts w:ascii="Times New Roman" w:cs="Times New Roman" w:eastAsia="Times New Roman" w:hAnsi="Times New Roman"/>
          <w:sz w:val="19"/>
          <w:szCs w:val="19"/>
          <w:color w:val="auto"/>
        </w:rPr>
        <w:t xml:space="preserve">), and upon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’s review and approval,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shall be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transferred from the </w:t>
      </w:r>
      <w:r>
        <w:rPr>
          <w:rFonts w:ascii="Times New Roman" w:cs="Times New Roman" w:eastAsia="Times New Roman" w:hAnsi="Times New Roman"/>
          <w:sz w:val="19"/>
          <w:szCs w:val="19"/>
          <w:b w:val="1"/>
          <w:bCs w:val="1"/>
          <w:u w:val="single" w:color="auto"/>
          <w:color w:val="auto"/>
        </w:rPr>
        <w:t>Loan Account</w:t>
      </w:r>
      <w:r>
        <w:rPr>
          <w:rFonts w:ascii="Times New Roman" w:cs="Times New Roman" w:eastAsia="Times New Roman" w:hAnsi="Times New Roman"/>
          <w:sz w:val="19"/>
          <w:szCs w:val="19"/>
          <w:color w:val="auto"/>
        </w:rPr>
        <w:t xml:space="preserve"> to the Borrower’s Counterparty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8.5  Application of Payments</w:t>
      </w:r>
    </w:p>
    <w:p>
      <w:pPr>
        <w:spacing w:after="0" w:line="2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Unless otherwise required by applicable laws and regulations,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apply all amounts received by it under Article 8.3 (</w:t>
      </w:r>
      <w:r>
        <w:rPr>
          <w:rFonts w:ascii="Times New Roman" w:cs="Times New Roman" w:eastAsia="Times New Roman" w:hAnsi="Times New Roman"/>
          <w:sz w:val="19"/>
          <w:szCs w:val="19"/>
          <w:i w:val="1"/>
          <w:iCs w:val="1"/>
          <w:color w:val="auto"/>
        </w:rPr>
        <w:t>Payments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by the Borrower</w:t>
      </w:r>
      <w:r>
        <w:rPr>
          <w:rFonts w:ascii="Times New Roman" w:cs="Times New Roman" w:eastAsia="Times New Roman" w:hAnsi="Times New Roman"/>
          <w:sz w:val="19"/>
          <w:szCs w:val="19"/>
          <w:color w:val="auto"/>
        </w:rPr>
        <w:t>) in the following order:</w:t>
      </w:r>
    </w:p>
    <w:p>
      <w:pPr>
        <w:spacing w:after="0" w:line="156" w:lineRule="exact"/>
        <w:rPr>
          <w:sz w:val="20"/>
          <w:szCs w:val="20"/>
          <w:color w:val="auto"/>
        </w:rPr>
      </w:pPr>
    </w:p>
    <w:p>
      <w:pPr>
        <w:ind w:left="640" w:hanging="189"/>
        <w:spacing w:after="0"/>
        <w:tabs>
          <w:tab w:leader="none" w:pos="64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pay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any fees and expenses due and unpaid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hereunder;</w:t>
      </w:r>
    </w:p>
    <w:p>
      <w:pPr>
        <w:spacing w:after="0" w:line="213" w:lineRule="exact"/>
        <w:rPr>
          <w:rFonts w:ascii="Times New Roman" w:cs="Times New Roman" w:eastAsia="Times New Roman" w:hAnsi="Times New Roman"/>
          <w:sz w:val="19"/>
          <w:szCs w:val="19"/>
          <w:color w:val="auto"/>
        </w:rPr>
      </w:pPr>
    </w:p>
    <w:p>
      <w:pPr>
        <w:ind w:right="40" w:firstLine="451"/>
        <w:spacing w:after="0" w:line="270" w:lineRule="auto"/>
        <w:tabs>
          <w:tab w:leader="none" w:pos="65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pay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on a pro rata basis any interest due and payable by the Borrower hereunder (including but not limited to any compound interest and default interest);</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pay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on a pro rata basis any principal due and payable by the Borrower hereunder; and</w:t>
      </w:r>
    </w:p>
    <w:p>
      <w:pPr>
        <w:spacing w:after="0" w:line="217"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pay any other amounts due and payable by the Borrower hereunder.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8.6  Advances</w:t>
      </w:r>
    </w:p>
    <w:p>
      <w:pPr>
        <w:spacing w:after="0" w:line="214" w:lineRule="exact"/>
        <w:rPr>
          <w:sz w:val="20"/>
          <w:szCs w:val="20"/>
          <w:color w:val="auto"/>
        </w:rPr>
      </w:pPr>
    </w:p>
    <w:p>
      <w:pPr>
        <w:ind w:left="640" w:hanging="189"/>
        <w:spacing w:after="0"/>
        <w:tabs>
          <w:tab w:leader="none" w:pos="64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(but shall not be obligated to) advance any amount on behalf of any Party hereto.</w:t>
      </w:r>
    </w:p>
    <w:p>
      <w:pPr>
        <w:spacing w:after="0" w:line="213"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655"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amount is payable to any Party through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pursuant to the provisions of this Contract, but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does not actually receive such amount on the date of making such payment, then upon demand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Party that has received such amount from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immediately refund such amount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pay interest thereon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the rate of [the corresponding LPR]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period commencing on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’s payment date (inclusive) and ending on the actual refund date (inclusive).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8.7  Currency of Payment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Unless otherwise agreed by the Parties, all payments hereunder shall be made in </w:t>
      </w:r>
      <w:r>
        <w:rPr>
          <w:rFonts w:ascii="Times New Roman" w:cs="Times New Roman" w:eastAsia="Times New Roman" w:hAnsi="Times New Roman"/>
          <w:sz w:val="19"/>
          <w:szCs w:val="19"/>
          <w:b w:val="1"/>
          <w:bCs w:val="1"/>
          <w:u w:val="single" w:color="auto"/>
          <w:color w:val="auto"/>
        </w:rPr>
        <w:t>RMB</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b w:val="1"/>
          <w:bCs w:val="1"/>
          <w:color w:val="auto"/>
        </w:rPr>
        <w:t>8.8  Set</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Off</w:t>
      </w:r>
    </w:p>
    <w:p>
      <w:pPr>
        <w:spacing w:after="0" w:line="227" w:lineRule="exact"/>
        <w:rPr>
          <w:sz w:val="20"/>
          <w:szCs w:val="20"/>
          <w:color w:val="auto"/>
        </w:rPr>
      </w:pPr>
    </w:p>
    <w:p>
      <w:pPr>
        <w:ind w:left="460"/>
        <w:spacing w:after="0" w:line="219" w:lineRule="exact"/>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exercise any right of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in making any payment hereunder.</w:t>
      </w:r>
    </w:p>
    <w:p>
      <w:pPr>
        <w:spacing w:after="0" w:line="227"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b w:val="1"/>
          <w:bCs w:val="1"/>
          <w:color w:val="auto"/>
        </w:rPr>
        <w:t>8.9  Non</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Business Day</w:t>
      </w:r>
    </w:p>
    <w:p>
      <w:pPr>
        <w:spacing w:after="0" w:line="227" w:lineRule="exact"/>
        <w:rPr>
          <w:sz w:val="20"/>
          <w:szCs w:val="20"/>
          <w:color w:val="auto"/>
        </w:rPr>
      </w:pPr>
    </w:p>
    <w:p>
      <w:pPr>
        <w:jc w:val="both"/>
        <w:ind w:right="40" w:firstLine="443"/>
        <w:spacing w:after="0" w:line="244" w:lineRule="exact"/>
        <w:rPr>
          <w:sz w:val="20"/>
          <w:szCs w:val="20"/>
          <w:color w:val="auto"/>
        </w:rPr>
      </w:pPr>
      <w:r>
        <w:rPr>
          <w:rFonts w:ascii="Times New Roman" w:cs="Times New Roman" w:eastAsia="Times New Roman" w:hAnsi="Times New Roman"/>
          <w:sz w:val="19"/>
          <w:szCs w:val="19"/>
          <w:color w:val="auto"/>
        </w:rPr>
        <w:t>If the due date for payment of any amount falls on a non</w:t>
      </w: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the payment date for such amount shall be extended to the immediately following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in the same calendar month as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(if available); otherwise, it shall be brought forward to the immediately preceding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u w:val="single" w:color="auto"/>
          <w:color w:val="auto"/>
        </w:rPr>
        <w:t>, unless otherwise provided in this Contract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8.10 Redistribution</w:t>
      </w:r>
    </w:p>
    <w:p>
      <w:pPr>
        <w:spacing w:after="0" w:line="214" w:lineRule="exact"/>
        <w:rPr>
          <w:sz w:val="20"/>
          <w:szCs w:val="20"/>
          <w:color w:val="auto"/>
        </w:rPr>
      </w:pPr>
    </w:p>
    <w:p>
      <w:pPr>
        <w:jc w:val="both"/>
        <w:ind w:right="40" w:firstLine="451"/>
        <w:spacing w:after="0" w:line="248" w:lineRule="auto"/>
        <w:tabs>
          <w:tab w:leader="none" w:pos="638"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agreed in Paragraph 4 of this Article, 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Receiving Lender</w:t>
      </w:r>
      <w:r>
        <w:rPr>
          <w:rFonts w:ascii="Times New Roman" w:cs="Times New Roman" w:eastAsia="Times New Roman" w:hAnsi="Times New Roman"/>
          <w:sz w:val="19"/>
          <w:szCs w:val="19"/>
          <w:color w:val="auto"/>
        </w:rPr>
        <w:t xml:space="preserve">”) receives from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any amount due and payable hereunder by any means beyond those specified in Article 8.3 (</w:t>
      </w:r>
      <w:r>
        <w:rPr>
          <w:rFonts w:ascii="Times New Roman" w:cs="Times New Roman" w:eastAsia="Times New Roman" w:hAnsi="Times New Roman"/>
          <w:sz w:val="19"/>
          <w:szCs w:val="19"/>
          <w:i w:val="1"/>
          <w:iCs w:val="1"/>
          <w:color w:val="auto"/>
        </w:rPr>
        <w:t>Payments by the Borrower</w:t>
      </w:r>
      <w:r>
        <w:rPr>
          <w:rFonts w:ascii="Times New Roman" w:cs="Times New Roman" w:eastAsia="Times New Roman" w:hAnsi="Times New Roman"/>
          <w:sz w:val="19"/>
          <w:szCs w:val="19"/>
          <w:color w:val="auto"/>
        </w:rPr>
        <w:t xml:space="preserve">), such </w:t>
      </w:r>
      <w:r>
        <w:rPr>
          <w:rFonts w:ascii="Times New Roman" w:cs="Times New Roman" w:eastAsia="Times New Roman" w:hAnsi="Times New Roman"/>
          <w:sz w:val="19"/>
          <w:szCs w:val="19"/>
          <w:b w:val="1"/>
          <w:bCs w:val="1"/>
          <w:u w:val="single" w:color="auto"/>
          <w:color w:val="auto"/>
        </w:rPr>
        <w:t>Receiving Lender</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on the date of receipt of such amount (the “</w:t>
      </w:r>
      <w:r>
        <w:rPr>
          <w:rFonts w:ascii="Times New Roman" w:cs="Times New Roman" w:eastAsia="Times New Roman" w:hAnsi="Times New Roman"/>
          <w:sz w:val="19"/>
          <w:szCs w:val="19"/>
          <w:b w:val="1"/>
          <w:bCs w:val="1"/>
          <w:color w:val="auto"/>
        </w:rPr>
        <w:t>Redistribution Amount</w:t>
      </w:r>
      <w:r>
        <w:rPr>
          <w:rFonts w:ascii="Times New Roman" w:cs="Times New Roman" w:eastAsia="Times New Roman" w:hAnsi="Times New Roman"/>
          <w:sz w:val="19"/>
          <w:szCs w:val="19"/>
          <w:color w:val="auto"/>
        </w:rPr>
        <w:t xml:space="preserve">”) and shall promptly transfer the </w:t>
      </w:r>
      <w:r>
        <w:rPr>
          <w:rFonts w:ascii="Times New Roman" w:cs="Times New Roman" w:eastAsia="Times New Roman" w:hAnsi="Times New Roman"/>
          <w:sz w:val="19"/>
          <w:szCs w:val="19"/>
          <w:b w:val="1"/>
          <w:bCs w:val="1"/>
          <w:u w:val="single" w:color="auto"/>
          <w:color w:val="auto"/>
        </w:rPr>
        <w:t>Redistribution Amount</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651"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respect of any </w:t>
      </w:r>
      <w:r>
        <w:rPr>
          <w:rFonts w:ascii="Times New Roman" w:cs="Times New Roman" w:eastAsia="Times New Roman" w:hAnsi="Times New Roman"/>
          <w:sz w:val="19"/>
          <w:szCs w:val="19"/>
          <w:b w:val="1"/>
          <w:bCs w:val="1"/>
          <w:color w:val="auto"/>
        </w:rPr>
        <w:t>Redistribution Amount</w:t>
      </w:r>
      <w:r>
        <w:rPr>
          <w:rFonts w:ascii="Times New Roman" w:cs="Times New Roman" w:eastAsia="Times New Roman" w:hAnsi="Times New Roman"/>
          <w:sz w:val="19"/>
          <w:szCs w:val="19"/>
          <w:color w:val="auto"/>
        </w:rPr>
        <w:t xml:space="preserve"> received by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pursuant to Paragraph 1 above,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shall treat such amount as having been paid by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and shall distribute it to the account of each </w:t>
      </w:r>
      <w:r>
        <w:rPr>
          <w:rFonts w:ascii="Times New Roman" w:cs="Times New Roman" w:eastAsia="Times New Roman" w:hAnsi="Times New Roman"/>
          <w:sz w:val="19"/>
          <w:szCs w:val="19"/>
          <w:b w:val="1"/>
          <w:bCs w:val="1"/>
          <w:color w:val="auto"/>
        </w:rPr>
        <w:t>Receiving Lender</w:t>
      </w:r>
      <w:r>
        <w:rPr>
          <w:rFonts w:ascii="Times New Roman" w:cs="Times New Roman" w:eastAsia="Times New Roman" w:hAnsi="Times New Roman"/>
          <w:sz w:val="19"/>
          <w:szCs w:val="19"/>
          <w:color w:val="auto"/>
        </w:rPr>
        <w:t xml:space="preserve"> in accordance with Paragraph 2, Article 8.4 (</w:t>
      </w:r>
      <w:r>
        <w:rPr>
          <w:rFonts w:ascii="Times New Roman" w:cs="Times New Roman" w:eastAsia="Times New Roman" w:hAnsi="Times New Roman"/>
          <w:sz w:val="19"/>
          <w:szCs w:val="19"/>
          <w:i w:val="1"/>
          <w:iCs w:val="1"/>
          <w:color w:val="auto"/>
        </w:rPr>
        <w:t>Payments by the Agent</w:t>
      </w:r>
      <w:r>
        <w:rPr>
          <w:rFonts w:ascii="Times New Roman" w:cs="Times New Roman" w:eastAsia="Times New Roman" w:hAnsi="Times New Roman"/>
          <w:sz w:val="19"/>
          <w:szCs w:val="19"/>
          <w:color w:val="auto"/>
        </w:rPr>
        <w:t>) hereof.</w:t>
      </w:r>
    </w:p>
    <w:p>
      <w:pPr>
        <w:spacing w:after="0" w:line="177"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Paragraphs 1 and 2 above shall not apply to any of the following amounts:</w:t>
      </w:r>
    </w:p>
    <w:p>
      <w:pPr>
        <w:spacing w:after="0" w:line="210" w:lineRule="exact"/>
        <w:rPr>
          <w:sz w:val="20"/>
          <w:szCs w:val="20"/>
          <w:color w:val="auto"/>
        </w:rPr>
      </w:pPr>
    </w:p>
    <w:p>
      <w:pPr>
        <w:ind w:left="720" w:hanging="269"/>
        <w:spacing w:after="0"/>
        <w:tabs>
          <w:tab w:leader="none" w:pos="720"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received by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 connection with any transfer or sub-participation pursuant to Article XIX (</w:t>
      </w:r>
      <w:r>
        <w:rPr>
          <w:rFonts w:ascii="Times New Roman" w:cs="Times New Roman" w:eastAsia="Times New Roman" w:hAnsi="Times New Roman"/>
          <w:sz w:val="19"/>
          <w:szCs w:val="19"/>
          <w:i w:val="1"/>
          <w:iCs w:val="1"/>
          <w:color w:val="auto"/>
        </w:rPr>
        <w:t>Transfer</w:t>
      </w:r>
      <w:r>
        <w:rPr>
          <w:rFonts w:ascii="Times New Roman" w:cs="Times New Roman" w:eastAsia="Times New Roman" w:hAnsi="Times New Roman"/>
          <w:sz w:val="19"/>
          <w:szCs w:val="19"/>
          <w:color w:val="auto"/>
        </w:rPr>
        <w:t>) hereof; or</w:t>
      </w:r>
    </w:p>
    <w:p>
      <w:pPr>
        <w:spacing w:after="0" w:line="213" w:lineRule="exact"/>
        <w:rPr>
          <w:rFonts w:ascii="Times New Roman" w:cs="Times New Roman" w:eastAsia="Times New Roman" w:hAnsi="Times New Roman"/>
          <w:sz w:val="19"/>
          <w:szCs w:val="19"/>
          <w:color w:val="auto"/>
        </w:rPr>
      </w:pPr>
    </w:p>
    <w:p>
      <w:pPr>
        <w:jc w:val="both"/>
        <w:ind w:right="60" w:firstLine="451"/>
        <w:spacing w:after="0" w:line="248" w:lineRule="auto"/>
        <w:tabs>
          <w:tab w:leader="none" w:pos="727"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received by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as a result of litigation or arbitration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 respect of any dispute hereunder; provided, however, that in respect of the above two items: (i) it has given prior notice to the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and (ii) the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have not joined such litigation or arbitration, or have expressly indicated that they will not join such litigation or arbitration, within five (5)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receipt of such notice.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IX. Security and Support</w:t>
      </w:r>
    </w:p>
    <w:p>
      <w:pPr>
        <w:spacing w:after="0" w:line="218" w:lineRule="exact"/>
        <w:rPr>
          <w:sz w:val="20"/>
          <w:szCs w:val="20"/>
          <w:color w:val="auto"/>
        </w:rPr>
      </w:pPr>
    </w:p>
    <w:p>
      <w:pPr>
        <w:ind w:right="60" w:firstLine="443"/>
        <w:spacing w:after="0" w:line="265" w:lineRule="auto"/>
        <w:rPr>
          <w:sz w:val="20"/>
          <w:szCs w:val="20"/>
          <w:color w:val="auto"/>
        </w:rPr>
      </w:pPr>
      <w:r>
        <w:rPr>
          <w:rFonts w:ascii="Times New Roman" w:cs="Times New Roman" w:eastAsia="Times New Roman" w:hAnsi="Times New Roman"/>
          <w:sz w:val="19"/>
          <w:szCs w:val="19"/>
          <w:color w:val="auto"/>
        </w:rPr>
        <w:t>The principal, interest (including compound interest and default interest), liquidated damages, compensation for damages and various syndicate fees in respect of the loan hereunder shall be secured by the following Security Providers through one or more of the following methods:</w:t>
      </w:r>
    </w:p>
    <w:p>
      <w:pPr>
        <w:spacing w:after="0" w:line="166" w:lineRule="exact"/>
        <w:rPr>
          <w:sz w:val="20"/>
          <w:szCs w:val="20"/>
          <w:color w:val="auto"/>
        </w:rPr>
      </w:pPr>
    </w:p>
    <w:p>
      <w:pPr>
        <w:ind w:right="40" w:firstLine="451"/>
        <w:spacing w:after="0" w:line="265" w:lineRule="auto"/>
        <w:tabs>
          <w:tab w:leader="none" w:pos="71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[Jirong Yunke Information Technology Co., Ltd. and Shanghai Jiayin Technology Co., Ltd.], acting as Guarantors, shall provide joint and several guarantee security and respectively enter into a Guarantee Contract with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right="40" w:firstLine="451"/>
        <w:spacing w:after="0" w:line="242" w:lineRule="auto"/>
        <w:tabs>
          <w:tab w:leader="none" w:pos="72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[Shanghai Jirong Zhicheng Enterprise Development Co., Ltd.], acting as Mortgagor, shall provide mortgage security over the properties owned or lawfully disposed of by it and enter into a Mortgage Contract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All Parties unanimously agree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[Redacted], as the representative and trustee for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may act as the sole nominal </w:t>
      </w:r>
      <w:r>
        <w:rPr>
          <w:rFonts w:ascii="Times New Roman" w:cs="Times New Roman" w:eastAsia="Times New Roman" w:hAnsi="Times New Roman"/>
          <w:sz w:val="19"/>
          <w:szCs w:val="19"/>
          <w:b w:val="1"/>
          <w:bCs w:val="1"/>
          <w:color w:val="auto"/>
        </w:rPr>
        <w:t>mortgagee</w:t>
      </w:r>
      <w:r>
        <w:rPr>
          <w:rFonts w:ascii="Times New Roman" w:cs="Times New Roman" w:eastAsia="Times New Roman" w:hAnsi="Times New Roman"/>
          <w:sz w:val="19"/>
          <w:szCs w:val="19"/>
          <w:color w:val="auto"/>
        </w:rPr>
        <w:t xml:space="preserve"> for the benefit of the Lenders and be responsible for completing all relevant procedures including the creation, registration, modification and release of the mortgage security under the Mortgage Contract (The mortgagee recorded in the mortgage registration certificate or other title documents issued by the relevant registration authority shall be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All Parties acknowledge that the said registration is an arrangement solely for administrative and operational convenience and shall not mean that the mortgage security interest is exclusively enjoyed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right="60" w:firstLine="451"/>
        <w:spacing w:after="0" w:line="242" w:lineRule="auto"/>
        <w:tabs>
          <w:tab w:leader="none" w:pos="726"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[Jirong Yunke Information Technology Co., Ltd.], acting as Pledgor, shall provide pledge security over the movable property or rights owned or lawfully disposed of by it and enter into a Pledge Contract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All Parties unanimously agree that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[Redacted], as the representative and trustee for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may act as the sole nominal pledgee for the benefit of the Lenders and be responsible for completing all relevant procedures including the creation, registration, notation, modification and release of the pledge security under the Pledge Contract (The pledgee recorded in the pledge registration certificate or other title documents issued by the relevant registration authority shall be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All Parties acknowledge that the said registration is an arrangement solely for administrative and operational convenience and shall not mean that the pledge security interest is exclusively enjoyed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82"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Where a </w:t>
      </w:r>
      <w:r>
        <w:rPr>
          <w:rFonts w:ascii="Times New Roman" w:cs="Times New Roman" w:eastAsia="Times New Roman" w:hAnsi="Times New Roman"/>
          <w:sz w:val="19"/>
          <w:szCs w:val="19"/>
          <w:b w:val="1"/>
          <w:bCs w:val="1"/>
          <w:color w:val="auto"/>
        </w:rPr>
        <w:t>Security Provider</w:t>
      </w:r>
      <w:r>
        <w:rPr>
          <w:rFonts w:ascii="Times New Roman" w:cs="Times New Roman" w:eastAsia="Times New Roman" w:hAnsi="Times New Roman"/>
          <w:sz w:val="19"/>
          <w:szCs w:val="19"/>
          <w:color w:val="auto"/>
        </w:rPr>
        <w:t xml:space="preserve"> signed a security agreement with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/all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or provided a unilateral guarantee undertaking to secure the obligations hereunder, even if not listed in this Contract, such security shall also constitute a valid security provided by the Security Provider for the obligations hereunder.</w:t>
      </w:r>
    </w:p>
    <w:p>
      <w:pPr>
        <w:spacing w:after="0" w:line="173"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If any adverse change affecting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claims occurs in respect of the aforesaid security,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have the right, with the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to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provide additional security.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security acceptable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accordingly.</w:t>
      </w:r>
    </w:p>
    <w:p>
      <w:pPr>
        <w:spacing w:after="0" w:line="173" w:lineRule="exact"/>
        <w:rPr>
          <w:sz w:val="20"/>
          <w:szCs w:val="20"/>
          <w:color w:val="auto"/>
        </w:rPr>
      </w:pPr>
    </w:p>
    <w:p>
      <w:pPr>
        <w:jc w:val="right"/>
        <w:ind w:right="10380" w:firstLine="8"/>
        <w:spacing w:after="0" w:line="474" w:lineRule="auto"/>
        <w:tabs>
          <w:tab w:leader="none" w:pos="378"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Taxes 10.1 Taxes</w:t>
      </w:r>
    </w:p>
    <w:p>
      <w:pPr>
        <w:spacing w:after="0" w:line="1" w:lineRule="exact"/>
        <w:rPr>
          <w:sz w:val="20"/>
          <w:szCs w:val="20"/>
          <w:color w:val="auto"/>
        </w:rPr>
      </w:pPr>
    </w:p>
    <w:p>
      <w:pPr>
        <w:jc w:val="both"/>
        <w:ind w:right="60" w:firstLine="443"/>
        <w:spacing w:after="0" w:line="253" w:lineRule="auto"/>
        <w:rPr>
          <w:sz w:val="20"/>
          <w:szCs w:val="20"/>
          <w:color w:val="auto"/>
        </w:rPr>
      </w:pPr>
      <w:r>
        <w:rPr>
          <w:rFonts w:ascii="Times New Roman" w:cs="Times New Roman" w:eastAsia="Times New Roman" w:hAnsi="Times New Roman"/>
          <w:sz w:val="19"/>
          <w:szCs w:val="19"/>
          <w:color w:val="auto"/>
        </w:rPr>
        <w:t xml:space="preserve">Unless otherwise expressly provided by applicable laws and regulations, any amount paid or payable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any </w:t>
      </w:r>
      <w:r>
        <w:rPr>
          <w:rFonts w:ascii="Times New Roman" w:cs="Times New Roman" w:eastAsia="Times New Roman" w:hAnsi="Times New Roman"/>
          <w:sz w:val="19"/>
          <w:szCs w:val="19"/>
          <w:b w:val="1"/>
          <w:bCs w:val="1"/>
          <w:u w:val="single" w:color="auto"/>
          <w:color w:val="auto"/>
        </w:rPr>
        <w:t>Syndicate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Member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the provisions of this Contract (whether such Syndicate Member acts as the actual payee or a paying agent) shall be free of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 i.e., the net amount receivable by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10.2 Stamp Duty</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shall each bear their own stamp duty in connection with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under applicable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XI. Increased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11.1 Notice of Increased Costs</w:t>
      </w:r>
    </w:p>
    <w:p>
      <w:pPr>
        <w:spacing w:after="0" w:line="218" w:lineRule="exact"/>
        <w:rPr>
          <w:sz w:val="20"/>
          <w:szCs w:val="20"/>
          <w:color w:val="auto"/>
        </w:rPr>
      </w:pPr>
    </w:p>
    <w:p>
      <w:pPr>
        <w:jc w:val="both"/>
        <w:ind w:right="60" w:firstLine="443"/>
        <w:spacing w:after="0" w:line="251" w:lineRule="auto"/>
        <w:rPr>
          <w:sz w:val="20"/>
          <w:szCs w:val="20"/>
          <w:color w:val="auto"/>
        </w:rPr>
      </w:pPr>
      <w:r>
        <w:rPr>
          <w:rFonts w:ascii="Times New Roman" w:cs="Times New Roman" w:eastAsia="Times New Roman" w:hAnsi="Times New Roman"/>
          <w:sz w:val="19"/>
          <w:szCs w:val="19"/>
          <w:color w:val="auto"/>
        </w:rPr>
        <w:t>During the performance of this Contract, if the promulgation, implementation or change of any laws or regulations or the interpretation thereof, or compliance with the requirements of the competent authorities including the PBOC, finance, taxation or financial regulatory authorities, causes or will cause any Lender (the “</w:t>
      </w:r>
      <w:r>
        <w:rPr>
          <w:rFonts w:ascii="Times New Roman" w:cs="Times New Roman" w:eastAsia="Times New Roman" w:hAnsi="Times New Roman"/>
          <w:sz w:val="19"/>
          <w:szCs w:val="19"/>
          <w:b w:val="1"/>
          <w:bCs w:val="1"/>
          <w:color w:val="auto"/>
        </w:rPr>
        <w:t>Affected Lender</w:t>
      </w:r>
      <w:r>
        <w:rPr>
          <w:rFonts w:ascii="Times New Roman" w:cs="Times New Roman" w:eastAsia="Times New Roman" w:hAnsi="Times New Roman"/>
          <w:sz w:val="19"/>
          <w:szCs w:val="19"/>
          <w:color w:val="auto"/>
        </w:rPr>
        <w:t>”) to incur any of the following costs (the “</w:t>
      </w:r>
      <w:r>
        <w:rPr>
          <w:rFonts w:ascii="Times New Roman" w:cs="Times New Roman" w:eastAsia="Times New Roman" w:hAnsi="Times New Roman"/>
          <w:sz w:val="19"/>
          <w:szCs w:val="19"/>
          <w:b w:val="1"/>
          <w:bCs w:val="1"/>
          <w:color w:val="auto"/>
        </w:rPr>
        <w:t>Increased Costs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40" w:hanging="189"/>
        <w:spacing w:after="0"/>
        <w:tabs>
          <w:tab w:leader="none" w:pos="64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Increased or additional costs incurred in connection with the execution or performance of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reduction in any amount received or receivable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635"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Increased or additional costs incurred in participating in the disbursement of any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maintaining or funding its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or its share of any </w:t>
      </w:r>
      <w:r>
        <w:rPr>
          <w:rFonts w:ascii="Times New Roman" w:cs="Times New Roman" w:eastAsia="Times New Roman" w:hAnsi="Times New Roman"/>
          <w:sz w:val="19"/>
          <w:szCs w:val="19"/>
          <w:b w:val="1"/>
          <w:bCs w:val="1"/>
          <w:u w:val="single" w:color="auto"/>
          <w:color w:val="auto"/>
        </w:rPr>
        <w:t>Outstanding Loan Balance</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Then, upon becoming aware of such circumstances, the </w:t>
      </w:r>
      <w:r>
        <w:rPr>
          <w:rFonts w:ascii="Times New Roman" w:cs="Times New Roman" w:eastAsia="Times New Roman" w:hAnsi="Times New Roman"/>
          <w:sz w:val="19"/>
          <w:szCs w:val="19"/>
          <w:b w:val="1"/>
          <w:bCs w:val="1"/>
          <w:color w:val="auto"/>
        </w:rPr>
        <w:t>Affected Lender</w:t>
      </w:r>
      <w:r>
        <w:rPr>
          <w:rFonts w:ascii="Times New Roman" w:cs="Times New Roman" w:eastAsia="Times New Roman" w:hAnsi="Times New Roman"/>
          <w:sz w:val="19"/>
          <w:szCs w:val="19"/>
          <w:color w:val="auto"/>
        </w:rPr>
        <w:t xml:space="preserve"> shall promptly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(such notice, the “</w:t>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 specifying in detail the causes and calculation basis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providing supporting evidence such as actual vouchers.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Upon receipt of such </w:t>
      </w:r>
      <w:r>
        <w:rPr>
          <w:rFonts w:ascii="Times New Roman" w:cs="Times New Roman" w:eastAsia="Times New Roman" w:hAnsi="Times New Roman"/>
          <w:sz w:val="19"/>
          <w:szCs w:val="19"/>
          <w:b w:val="1"/>
          <w:bCs w:val="1"/>
          <w:u w:val="single" w:color="auto"/>
          <w:color w:val="auto"/>
        </w:rPr>
        <w:t>Increased Costs Notice</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forward the relevant materials for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confirmation.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11.2 Indemnity</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agrees to provide indemnity upon receipt of the </w:t>
      </w:r>
      <w:r>
        <w:rPr>
          <w:rFonts w:ascii="Times New Roman" w:cs="Times New Roman" w:eastAsia="Times New Roman" w:hAnsi="Times New Roman"/>
          <w:sz w:val="19"/>
          <w:szCs w:val="19"/>
          <w:b w:val="1"/>
          <w:bCs w:val="1"/>
          <w:u w:val="single" w:color="auto"/>
          <w:color w:val="auto"/>
        </w:rPr>
        <w:t>Increased Costs Notice</w:t>
      </w:r>
      <w:r>
        <w:rPr>
          <w:rFonts w:ascii="Times New Roman" w:cs="Times New Roman" w:eastAsia="Times New Roman" w:hAnsi="Times New Roman"/>
          <w:sz w:val="19"/>
          <w:szCs w:val="19"/>
          <w:color w:val="auto"/>
        </w:rPr>
        <w:t xml:space="preserve"> and supporting materials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shall so agree as long as the calculations are accurate and materials are complete, and shall respond within three (3) Business Days),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pay to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through the Agent an amount equal to the proven </w:t>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 xml:space="preserve"> within three (3)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giving its written consent. However,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be required to indemnify any </w:t>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 xml:space="preserve"> caused due to the following reason: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82" w:lineRule="exact"/>
        <w:rPr>
          <w:sz w:val="20"/>
          <w:szCs w:val="20"/>
          <w:color w:val="auto"/>
        </w:rPr>
      </w:pPr>
    </w:p>
    <w:p>
      <w:pPr>
        <w:ind w:left="640" w:hanging="189"/>
        <w:spacing w:after="0"/>
        <w:tabs>
          <w:tab w:leader="none" w:pos="6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Indemnity already paid or payable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under other provisions of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in tax rates or tax bases applicable to the gross operating income or total profits of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or any of its branches;</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66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failure to comply with any applicable laws or regulations or requirements of the PBOC, finance, taxation, financial regulatory or other competent authorities having jurisdiction over it;</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Downgrade of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’s credit rating;</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transactions of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not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XII. Changes in Law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12.1 Notice of Change in Law</w:t>
      </w:r>
    </w:p>
    <w:p>
      <w:pPr>
        <w:spacing w:after="0" w:line="218" w:lineRule="exact"/>
        <w:rPr>
          <w:sz w:val="20"/>
          <w:szCs w:val="20"/>
          <w:color w:val="auto"/>
        </w:rPr>
      </w:pPr>
    </w:p>
    <w:p>
      <w:pPr>
        <w:jc w:val="both"/>
        <w:ind w:right="60" w:firstLine="443"/>
        <w:spacing w:after="0" w:line="242" w:lineRule="auto"/>
        <w:rPr>
          <w:sz w:val="20"/>
          <w:szCs w:val="20"/>
          <w:color w:val="auto"/>
        </w:rPr>
      </w:pPr>
      <w:r>
        <w:rPr>
          <w:rFonts w:ascii="Times New Roman" w:cs="Times New Roman" w:eastAsia="Times New Roman" w:hAnsi="Times New Roman"/>
          <w:sz w:val="19"/>
          <w:szCs w:val="19"/>
          <w:color w:val="auto"/>
        </w:rPr>
        <w:t xml:space="preserve">During the performance of this Contract, if the promulgation, implementation or modification of any laws or regulations or the interpretation thereof, and/or compliance with new requirements of the PBOC, finance, taxation, financial regulatory or other competent authorities causes or will cause it to be unlawful or in violation of new regulatory requirements for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Affected Lender</w:t>
      </w:r>
      <w:r>
        <w:rPr>
          <w:rFonts w:ascii="Times New Roman" w:cs="Times New Roman" w:eastAsia="Times New Roman" w:hAnsi="Times New Roman"/>
          <w:sz w:val="19"/>
          <w:szCs w:val="19"/>
          <w:color w:val="auto"/>
        </w:rPr>
        <w:t xml:space="preserve">”) to continue performing the </w:t>
      </w:r>
      <w:r>
        <w:rPr>
          <w:rFonts w:ascii="Times New Roman" w:cs="Times New Roman" w:eastAsia="Times New Roman" w:hAnsi="Times New Roman"/>
          <w:sz w:val="19"/>
          <w:szCs w:val="19"/>
          <w:b w:val="1"/>
          <w:bCs w:val="1"/>
          <w:u w:val="single" w:color="auto"/>
          <w:color w:val="auto"/>
        </w:rPr>
        <w:t>Finance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Documents</w:t>
      </w:r>
      <w:r>
        <w:rPr>
          <w:rFonts w:ascii="Times New Roman" w:cs="Times New Roman" w:eastAsia="Times New Roman" w:hAnsi="Times New Roman"/>
          <w:sz w:val="19"/>
          <w:szCs w:val="19"/>
          <w:color w:val="auto"/>
        </w:rPr>
        <w:t>, participate in the disbursement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maintain or fund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or retain its share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Outstanding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Balance</w:t>
      </w:r>
      <w:r>
        <w:rPr>
          <w:rFonts w:ascii="Times New Roman" w:cs="Times New Roman" w:eastAsia="Times New Roman" w:hAnsi="Times New Roman"/>
          <w:sz w:val="19"/>
          <w:szCs w:val="19"/>
          <w:color w:val="auto"/>
        </w:rPr>
        <w:t>,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upon becoming aware of such circumstances, notify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soon as possible (such notice, the “</w:t>
      </w: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of Change in Law</w:t>
      </w:r>
      <w:r>
        <w:rPr>
          <w:rFonts w:ascii="Times New Roman" w:cs="Times New Roman" w:eastAsia="Times New Roman" w:hAnsi="Times New Roman"/>
          <w:sz w:val="19"/>
          <w:szCs w:val="19"/>
          <w:color w:val="auto"/>
        </w:rPr>
        <w:t>”), specifying in detail the causes and basis rendering such performance unlawful or in violation of new regulatory requirements.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Upon receipt of such Notice of Change in Law,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the Borrower.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12.2 Cancellation and Prepayment</w:t>
      </w:r>
    </w:p>
    <w:p>
      <w:pPr>
        <w:spacing w:after="0" w:line="214" w:lineRule="exact"/>
        <w:rPr>
          <w:sz w:val="20"/>
          <w:szCs w:val="20"/>
          <w:color w:val="auto"/>
        </w:rPr>
      </w:pPr>
    </w:p>
    <w:p>
      <w:pPr>
        <w:ind w:right="40" w:firstLine="451"/>
        <w:spacing w:after="0" w:line="270" w:lineRule="auto"/>
        <w:tabs>
          <w:tab w:leader="none" w:pos="637"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receipt of the Notice of Change in Law, 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shall be automatically and fully cancelled with immediate effect.</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637"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requires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prepay its share of any </w:t>
      </w:r>
      <w:r>
        <w:rPr>
          <w:rFonts w:ascii="Times New Roman" w:cs="Times New Roman" w:eastAsia="Times New Roman" w:hAnsi="Times New Roman"/>
          <w:sz w:val="19"/>
          <w:szCs w:val="19"/>
          <w:b w:val="1"/>
          <w:bCs w:val="1"/>
          <w:u w:val="single" w:color="auto"/>
          <w:color w:val="auto"/>
        </w:rPr>
        <w:t>Outstanding Loan Balance</w:t>
      </w:r>
      <w:r>
        <w:rPr>
          <w:rFonts w:ascii="Times New Roman" w:cs="Times New Roman" w:eastAsia="Times New Roman" w:hAnsi="Times New Roman"/>
          <w:sz w:val="19"/>
          <w:szCs w:val="19"/>
          <w:color w:val="auto"/>
        </w:rPr>
        <w:t xml:space="preserve"> and accrued interest,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prepay the corresponding amount to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within ninety (90)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upon such demand.</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641"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cancels its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and requires prepayment in accordance with the provisions of this Article, it shall have no obligation to pay any penalty or fee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XIII. Mitigation of Loss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13.1 Mitigation</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If any circumstance specified in Article XI (</w:t>
      </w:r>
      <w:r>
        <w:rPr>
          <w:rFonts w:ascii="Times New Roman" w:cs="Times New Roman" w:eastAsia="Times New Roman" w:hAnsi="Times New Roman"/>
          <w:sz w:val="19"/>
          <w:szCs w:val="19"/>
          <w:i w:val="1"/>
          <w:iCs w:val="1"/>
          <w:color w:val="auto"/>
        </w:rPr>
        <w:t>Increased Costs</w:t>
      </w:r>
      <w:r>
        <w:rPr>
          <w:rFonts w:ascii="Times New Roman" w:cs="Times New Roman" w:eastAsia="Times New Roman" w:hAnsi="Times New Roman"/>
          <w:sz w:val="19"/>
          <w:szCs w:val="19"/>
          <w:color w:val="auto"/>
        </w:rPr>
        <w:t>) or Article XII (</w:t>
      </w:r>
      <w:r>
        <w:rPr>
          <w:rFonts w:ascii="Times New Roman" w:cs="Times New Roman" w:eastAsia="Times New Roman" w:hAnsi="Times New Roman"/>
          <w:sz w:val="19"/>
          <w:szCs w:val="19"/>
          <w:i w:val="1"/>
          <w:iCs w:val="1"/>
          <w:color w:val="auto"/>
        </w:rPr>
        <w:t>Changes in Law</w:t>
      </w:r>
      <w:r>
        <w:rPr>
          <w:rFonts w:ascii="Times New Roman" w:cs="Times New Roman" w:eastAsia="Times New Roman" w:hAnsi="Times New Roman"/>
          <w:sz w:val="19"/>
          <w:szCs w:val="19"/>
          <w:color w:val="auto"/>
        </w:rPr>
        <w:t xml:space="preserve">) occurs, the </w:t>
      </w:r>
      <w:r>
        <w:rPr>
          <w:rFonts w:ascii="Times New Roman" w:cs="Times New Roman" w:eastAsia="Times New Roman" w:hAnsi="Times New Roman"/>
          <w:sz w:val="19"/>
          <w:szCs w:val="19"/>
          <w:b w:val="1"/>
          <w:bCs w:val="1"/>
          <w:u w:val="single" w:color="auto"/>
          <w:color w:val="auto"/>
        </w:rPr>
        <w:t>Affected Lender</w:t>
      </w:r>
      <w:r>
        <w:rPr>
          <w:rFonts w:ascii="Times New Roman" w:cs="Times New Roman" w:eastAsia="Times New Roman" w:hAnsi="Times New Roman"/>
          <w:sz w:val="19"/>
          <w:szCs w:val="19"/>
          <w:color w:val="auto"/>
        </w:rPr>
        <w:t xml:space="preserve"> shall negotiate in good faith with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and shall use its reasonable efforts to mitigate the impact of such circumstance; provided that the Borrower’s obligations under the Finance Documents shall not be exempted or reduced by virtue of this Article.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13.2 Limitation of Obligations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in its reasonable judgment, considers that taking any measure pursuant to Article 13.1 (</w:t>
      </w:r>
      <w:r>
        <w:rPr>
          <w:rFonts w:ascii="Times New Roman" w:cs="Times New Roman" w:eastAsia="Times New Roman" w:hAnsi="Times New Roman"/>
          <w:sz w:val="19"/>
          <w:szCs w:val="19"/>
          <w:i w:val="1"/>
          <w:iCs w:val="1"/>
          <w:color w:val="auto"/>
        </w:rPr>
        <w:t>Mitigation</w:t>
      </w:r>
      <w:r>
        <w:rPr>
          <w:rFonts w:ascii="Times New Roman" w:cs="Times New Roman" w:eastAsia="Times New Roman" w:hAnsi="Times New Roman"/>
          <w:sz w:val="19"/>
          <w:szCs w:val="19"/>
          <w:color w:val="auto"/>
        </w:rPr>
        <w:t xml:space="preserve">) would adversely affect its business, operations or financial condition,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have no obligation to take such measure.</w:t>
      </w:r>
    </w:p>
    <w:p>
      <w:pPr>
        <w:spacing w:after="0" w:line="156"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indemnify the relevant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for any reasonable fees and expenses incurred by such Lender in taking any measures pursuant to Article 13.1 (</w:t>
      </w:r>
      <w:r>
        <w:rPr>
          <w:rFonts w:ascii="Times New Roman" w:cs="Times New Roman" w:eastAsia="Times New Roman" w:hAnsi="Times New Roman"/>
          <w:sz w:val="19"/>
          <w:szCs w:val="19"/>
          <w:i w:val="1"/>
          <w:iCs w:val="1"/>
          <w:color w:val="auto"/>
        </w:rPr>
        <w:t>Mitigation</w:t>
      </w:r>
      <w:r>
        <w:rPr>
          <w:rFonts w:ascii="Times New Roman" w:cs="Times New Roman" w:eastAsia="Times New Roman" w:hAnsi="Times New Roman"/>
          <w:sz w:val="19"/>
          <w:szCs w:val="19"/>
          <w:color w:val="auto"/>
        </w:rPr>
        <w:t>) upon mutual agreement; provided that the relevant Lender shall provide lawful and valid certificates or vouchers in respect of such fees and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XIV. Representations and Warranties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hereby makes the following representations and warranties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and warrants that such representations and warranties are true and accurate in all respects as of the Effective Date, each Drawdown Notice Date, each Drawdown Date, each Interest Settlement Date and each Prepayment Date, in light of the facts and circumstances on such dates: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 Legal Status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are enterprise legal persons duly incorporated and validly existing under the laws and regulations of their respective places of registration.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14.2 Contractual Capacity</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have full civil capacity and civil rights capacity to own their assets, conduct their businesses, and execute and perform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to which they are a party.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14.3 Corporate Authorization</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have obtained all necessary internal corporate authorizations to execute and perform the </w:t>
      </w:r>
      <w:r>
        <w:rPr>
          <w:rFonts w:ascii="Times New Roman" w:cs="Times New Roman" w:eastAsia="Times New Roman" w:hAnsi="Times New Roman"/>
          <w:sz w:val="19"/>
          <w:szCs w:val="19"/>
          <w:b w:val="1"/>
          <w:bCs w:val="1"/>
          <w:u w:val="single" w:color="auto"/>
          <w:color w:val="auto"/>
        </w:rPr>
        <w:t>Finance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which they are a party, such authorizations are in full force and effect, and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been validly executed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their legal representatives or authorized agents.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14.4 Approvals and Licenses</w:t>
      </w:r>
    </w:p>
    <w:p>
      <w:pPr>
        <w:spacing w:after="0" w:line="214" w:lineRule="exact"/>
        <w:rPr>
          <w:sz w:val="20"/>
          <w:szCs w:val="20"/>
          <w:color w:val="auto"/>
        </w:rPr>
      </w:pPr>
    </w:p>
    <w:p>
      <w:pPr>
        <w:jc w:val="both"/>
        <w:ind w:right="6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have obtained all necessary approval, license, consent, registration and filing documents to lawfully own their respective assets, conduct their respective businesses, and execute and perform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to which they are a party, and such approval, license, consent, registration and filing documents remain in full force and effect.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14.5 Filing of Enterprise Information</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have submitted annual reports in accordance with the requirements of applicable laws and are not included in the List of Abnormal Business Operations or the List of Serious Illegal Enterprises.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14.6 Enforceability</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obligations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to which they are a party are legal, valid and binding upon them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14.7 No Conflict with Laws or Other Instruments</w:t>
      </w:r>
    </w:p>
    <w:p>
      <w:pPr>
        <w:spacing w:after="0" w:line="2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execution and performance of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to which they are a party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do not, and will not, contravene or conflict with any of the following:</w:t>
      </w:r>
    </w:p>
    <w:p>
      <w:pPr>
        <w:spacing w:after="0" w:line="160" w:lineRule="exact"/>
        <w:rPr>
          <w:sz w:val="20"/>
          <w:szCs w:val="20"/>
          <w:color w:val="auto"/>
        </w:rPr>
      </w:pPr>
    </w:p>
    <w:p>
      <w:pPr>
        <w:ind w:left="720" w:hanging="269"/>
        <w:spacing w:after="0"/>
        <w:tabs>
          <w:tab w:leader="none" w:pos="72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contract, agreement or other instrument binding upon them or their assets;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Their respective shareholders’ agreements, articles of association and other corporate governance documents; and/or</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applicable laws and regulations.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14.8 Litigation and Arbitration</w:t>
      </w:r>
    </w:p>
    <w:p>
      <w:pPr>
        <w:spacing w:after="0" w:line="218" w:lineRule="exact"/>
        <w:rPr>
          <w:sz w:val="20"/>
          <w:szCs w:val="20"/>
          <w:color w:val="auto"/>
        </w:rPr>
      </w:pPr>
    </w:p>
    <w:p>
      <w:pPr>
        <w:jc w:val="both"/>
        <w:ind w:right="60" w:firstLine="443"/>
        <w:spacing w:after="0" w:line="251" w:lineRule="auto"/>
        <w:rPr>
          <w:sz w:val="20"/>
          <w:szCs w:val="20"/>
          <w:color w:val="auto"/>
        </w:rPr>
      </w:pPr>
      <w:r>
        <w:rPr>
          <w:rFonts w:ascii="Times New Roman" w:cs="Times New Roman" w:eastAsia="Times New Roman" w:hAnsi="Times New Roman"/>
          <w:sz w:val="19"/>
          <w:szCs w:val="19"/>
          <w:color w:val="auto"/>
        </w:rPr>
        <w:t xml:space="preserve">No court action, arbitration, administrative proceeding, enforcement proceeding by judicial or administrative authorities or other similar proceedings are pending or threatened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that may have or would reasonably be expected to have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its ability to perform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which it is a party.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14.9 Insolvency Proceedings</w:t>
      </w:r>
    </w:p>
    <w:p>
      <w:pPr>
        <w:spacing w:after="0" w:line="218" w:lineRule="exact"/>
        <w:rPr>
          <w:sz w:val="20"/>
          <w:szCs w:val="20"/>
          <w:color w:val="auto"/>
        </w:rPr>
      </w:pPr>
    </w:p>
    <w:p>
      <w:pPr>
        <w:jc w:val="both"/>
        <w:ind w:right="60" w:firstLine="443"/>
        <w:spacing w:after="0" w:line="265" w:lineRule="auto"/>
        <w:rPr>
          <w:sz w:val="20"/>
          <w:szCs w:val="20"/>
          <w:color w:val="auto"/>
        </w:rPr>
      </w:pPr>
      <w:r>
        <w:rPr>
          <w:rFonts w:ascii="Times New Roman" w:cs="Times New Roman" w:eastAsia="Times New Roman" w:hAnsi="Times New Roman"/>
          <w:sz w:val="19"/>
          <w:szCs w:val="19"/>
          <w:color w:val="auto"/>
        </w:rPr>
        <w:t xml:space="preserve">No proceedings for closure, dissolution, liquidation, bankruptcy, reorganization, compromise, rectification or similar proceedings have been initiated by or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14.10 No Event of Default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 Event of Default has occurred and is continuing, and no circumstance exists which would result in an Event of Default.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14.11 Compliance with Laws</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comply in all respects with all applicable laws and regulations and have not breached any laws or regulations relating to their business and operations.</w:t>
      </w:r>
    </w:p>
    <w:p>
      <w:pPr>
        <w:sectPr>
          <w:pgSz w:w="11900" w:h="16838" w:orient="portrait"/>
          <w:cols w:equalWidth="0" w:num="1">
            <w:col w:w="11240"/>
          </w:cols>
          <w:pgMar w:left="320" w:top="1440"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14.12 Ranking of Claims</w:t>
      </w:r>
    </w:p>
    <w:p>
      <w:pPr>
        <w:spacing w:after="0" w:line="214" w:lineRule="exact"/>
        <w:rPr>
          <w:sz w:val="20"/>
          <w:szCs w:val="20"/>
          <w:color w:val="auto"/>
        </w:rPr>
      </w:pPr>
    </w:p>
    <w:p>
      <w:pPr>
        <w:jc w:val="both"/>
        <w:ind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claims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each at least pari passu with all other unsecured and unsubordinated claims of other creditors of the may be).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14.13 Waiver of Immunity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right="40" w:firstLine="26"/>
        <w:spacing w:after="0" w:line="270" w:lineRule="auto"/>
        <w:rPr>
          <w:sz w:val="20"/>
          <w:szCs w:val="20"/>
          <w:color w:val="auto"/>
        </w:rPr>
      </w:pP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as the case may be) shall rank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as the case</w:t>
      </w:r>
    </w:p>
    <w:p>
      <w:pPr>
        <w:spacing w:after="0" w:line="790" w:lineRule="exact"/>
        <w:rPr>
          <w:sz w:val="20"/>
          <w:szCs w:val="20"/>
          <w:color w:val="auto"/>
        </w:rPr>
      </w:pPr>
    </w:p>
    <w:p>
      <w:pPr>
        <w:sectPr>
          <w:pgSz w:w="11900" w:h="16838" w:orient="portrait"/>
          <w:cols w:equalWidth="0" w:num="2">
            <w:col w:w="7280" w:space="20"/>
            <w:col w:w="3940"/>
          </w:cols>
          <w:pgMar w:left="320" w:top="1440" w:right="339" w:bottom="1440" w:gutter="0" w:footer="0" w:header="0"/>
          <w:type w:val="continuous"/>
        </w:sectPr>
      </w:pPr>
    </w:p>
    <w:p>
      <w:pPr>
        <w:spacing w:after="0" w:line="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and their respective assets do not enjoy any immunity or privilege in respect of service of process, judgment, enforcement, property preservation or other proceedings in any judicial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14.14 Information Disclosure</w:t>
      </w:r>
    </w:p>
    <w:p>
      <w:pPr>
        <w:spacing w:after="0" w:line="214" w:lineRule="exact"/>
        <w:rPr>
          <w:sz w:val="20"/>
          <w:szCs w:val="20"/>
          <w:color w:val="auto"/>
        </w:rPr>
      </w:pPr>
    </w:p>
    <w:p>
      <w:pPr>
        <w:ind w:right="60" w:firstLine="451"/>
        <w:spacing w:after="0" w:line="270" w:lineRule="auto"/>
        <w:tabs>
          <w:tab w:leader="none" w:pos="719"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circumstance has occurred which may have or would reasonably be expected to have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 xml:space="preserve"> on the legal status, business, financial condition or asset position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color w:val="auto"/>
        </w:rPr>
        <w:t>Security Provider</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4" w:name="page235"/>
    <w:bookmarkEnd w:id="234"/>
    <w:p>
      <w:pPr>
        <w:spacing w:after="0" w:line="182" w:lineRule="exact"/>
        <w:rPr>
          <w:sz w:val="20"/>
          <w:szCs w:val="20"/>
          <w:color w:val="auto"/>
        </w:rPr>
      </w:pPr>
    </w:p>
    <w:p>
      <w:pPr>
        <w:jc w:val="both"/>
        <w:ind w:right="40" w:firstLine="451"/>
        <w:spacing w:after="0" w:line="253" w:lineRule="auto"/>
        <w:tabs>
          <w:tab w:leader="none" w:pos="738"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financial statements and reports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have been prepared in accordance with </w:t>
      </w:r>
      <w:r>
        <w:rPr>
          <w:rFonts w:ascii="Times New Roman" w:cs="Times New Roman" w:eastAsia="Times New Roman" w:hAnsi="Times New Roman"/>
          <w:sz w:val="19"/>
          <w:szCs w:val="19"/>
          <w:b w:val="1"/>
          <w:bCs w:val="1"/>
          <w:u w:val="single" w:color="auto"/>
          <w:color w:val="auto"/>
        </w:rPr>
        <w:t>Accounting Standards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fairly, truly, completely and accurately reflect the financial condition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the date of such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statements and reports, and do not omit any major liabilities, major income or major losses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747"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materials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are true, complete, accurate and valid, and do not omit any information which may have or would reasonably be expected to have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14.15 No Material Adverse Effect</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No event or circumstance having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 xml:space="preserve"> has occurred, and no change which may have or would reasonably be expected to have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 xml:space="preserve"> has occurred.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XV. Covenants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undertakes that, during the period from the </w:t>
      </w:r>
      <w:r>
        <w:rPr>
          <w:rFonts w:ascii="Times New Roman" w:cs="Times New Roman" w:eastAsia="Times New Roman" w:hAnsi="Times New Roman"/>
          <w:sz w:val="19"/>
          <w:szCs w:val="19"/>
          <w:b w:val="1"/>
          <w:bCs w:val="1"/>
          <w:u w:val="single" w:color="auto"/>
          <w:color w:val="auto"/>
        </w:rPr>
        <w:t>Effective Date</w:t>
      </w:r>
      <w:r>
        <w:rPr>
          <w:rFonts w:ascii="Times New Roman" w:cs="Times New Roman" w:eastAsia="Times New Roman" w:hAnsi="Times New Roman"/>
          <w:sz w:val="19"/>
          <w:szCs w:val="19"/>
          <w:color w:val="auto"/>
        </w:rPr>
        <w:t xml:space="preserve"> hereof until the date on which all of its obligations hereunder have been fully performed, it will comply with the following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15.1 Positive Covenants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 Ranking of Claims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claims enjoyed by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xml:space="preserve">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as the case may be) shall rank at least pari passu with the existing and future unsecured or non-statutorily preferred claims enjoyed by other creditors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as the case may be)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as the case may be).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 Legal Status and Capacity</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maintain (and shall cause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to maintain) its respective status as a legally, continuously and validly existing enterprise legal person, and ensure that it possesses the necessary civil capacity for conduct and civil rights capacity to perform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which it is a party.</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3. Compliance with Laws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ensure (and shall cause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to ensure) compliance in all respects with any laws and regulations relating to its respective business and operations, including but not limited to laws and regulations relating to environmental protection and taxation, as well as governmental rules and industry regulatory measures relating to energy conservation and emission reduction.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4. Licenses and Approvals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timely obtain, comply with and maintain (and shall procure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to timely obtain, comply with and maintain) all approval, license, consent, registration and filing documents required for performing the Finance Documents to which it is a party.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5. Filing of Enterprise Information</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timely file (and shall cause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to timely file) its respective annual reports with the SAMR, and ensure that it and each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are not included in the List of Abnormal Business Operations or the List of Serious Illegal Enterprises.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6. Insurance</w:t>
      </w:r>
    </w:p>
    <w:p>
      <w:pPr>
        <w:spacing w:after="0" w:line="214" w:lineRule="exact"/>
        <w:rPr>
          <w:sz w:val="20"/>
          <w:szCs w:val="20"/>
          <w:color w:val="auto"/>
        </w:rPr>
      </w:pPr>
    </w:p>
    <w:p>
      <w:pPr>
        <w:jc w:val="both"/>
        <w:ind w:right="6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purchase insurances covering its business and assets from reputable insurance companies, and the types of insurance purchased shall be those customarily purchased by enterprises engaged in the same or similar businesses.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maintain such insurance continuously and fully valid, and renew it promptly prior to its expiry.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be the first beneficiary under such insurance.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7. Provision of Materials</w:t>
      </w:r>
    </w:p>
    <w:p>
      <w:pPr>
        <w:spacing w:after="0" w:line="214" w:lineRule="exact"/>
        <w:rPr>
          <w:sz w:val="20"/>
          <w:szCs w:val="20"/>
          <w:color w:val="auto"/>
        </w:rPr>
      </w:pPr>
    </w:p>
    <w:p>
      <w:pPr>
        <w:ind w:right="60" w:firstLine="451"/>
        <w:spacing w:after="0" w:line="270" w:lineRule="auto"/>
        <w:tabs>
          <w:tab w:leader="none" w:pos="724"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the Agent with its quarterly financial statements (including notes thereto) within thirty (30) days after the end of each quarter.</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1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with its semi-annual financial statements (including notes thereto) within sixty (60) days after the end of each half-</w:t>
      </w:r>
      <w:r>
        <w:rPr>
          <w:rFonts w:ascii="Times New Roman" w:cs="Times New Roman" w:eastAsia="Times New Roman" w:hAnsi="Times New Roman"/>
          <w:sz w:val="19"/>
          <w:szCs w:val="19"/>
          <w:b w:val="1"/>
          <w:bCs w:val="1"/>
          <w:u w:val="single" w:color="auto"/>
          <w:color w:val="auto"/>
        </w:rPr>
        <w:t>Fiscal Year</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738"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with its annual financial statements (including notes thereto) audited by a </w:t>
      </w:r>
      <w:r>
        <w:rPr>
          <w:rFonts w:ascii="Times New Roman" w:cs="Times New Roman" w:eastAsia="Times New Roman" w:hAnsi="Times New Roman"/>
          <w:sz w:val="19"/>
          <w:szCs w:val="19"/>
          <w:b w:val="1"/>
          <w:bCs w:val="1"/>
          <w:u w:val="single" w:color="auto"/>
          <w:color w:val="auto"/>
        </w:rPr>
        <w:t>Certified Public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Accountant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respect of such Fiscal Year within sixty (60) days after the end of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Fiscal Year</w:t>
      </w:r>
      <w:r>
        <w:rPr>
          <w:rFonts w:ascii="Times New Roman" w:cs="Times New Roman" w:eastAsia="Times New Roman" w:hAnsi="Times New Roman"/>
          <w:sz w:val="19"/>
          <w:szCs w:val="19"/>
          <w:color w:val="auto"/>
        </w:rPr>
        <w:t>, together with a professional audit opinion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issued by such </w:t>
      </w:r>
      <w:r>
        <w:rPr>
          <w:rFonts w:ascii="Times New Roman" w:cs="Times New Roman" w:eastAsia="Times New Roman" w:hAnsi="Times New Roman"/>
          <w:sz w:val="19"/>
          <w:szCs w:val="19"/>
          <w:b w:val="1"/>
          <w:bCs w:val="1"/>
          <w:u w:val="single" w:color="auto"/>
          <w:color w:val="auto"/>
        </w:rPr>
        <w:t>Certified Public Accountant</w:t>
      </w:r>
      <w:r>
        <w:rPr>
          <w:rFonts w:ascii="Times New Roman" w:cs="Times New Roman" w:eastAsia="Times New Roman" w:hAnsi="Times New Roman"/>
          <w:sz w:val="19"/>
          <w:szCs w:val="19"/>
          <w:color w:val="auto"/>
        </w:rPr>
        <w:t xml:space="preserve"> in respect of such statements.</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724"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ensure (and shall cause each </w:t>
      </w:r>
      <w:r>
        <w:rPr>
          <w:rFonts w:ascii="Times New Roman" w:cs="Times New Roman" w:eastAsia="Times New Roman" w:hAnsi="Times New Roman"/>
          <w:sz w:val="19"/>
          <w:szCs w:val="19"/>
          <w:b w:val="1"/>
          <w:bCs w:val="1"/>
          <w:color w:val="auto"/>
        </w:rPr>
        <w:t>Security Provider</w:t>
      </w:r>
      <w:r>
        <w:rPr>
          <w:rFonts w:ascii="Times New Roman" w:cs="Times New Roman" w:eastAsia="Times New Roman" w:hAnsi="Times New Roman"/>
          <w:sz w:val="19"/>
          <w:szCs w:val="19"/>
          <w:color w:val="auto"/>
        </w:rPr>
        <w:t xml:space="preserve"> to ensure) that its respective financial statements are prepared in accordance with applicable laws, regulations and </w:t>
      </w:r>
      <w:r>
        <w:rPr>
          <w:rFonts w:ascii="Times New Roman" w:cs="Times New Roman" w:eastAsia="Times New Roman" w:hAnsi="Times New Roman"/>
          <w:sz w:val="19"/>
          <w:szCs w:val="19"/>
          <w:b w:val="1"/>
          <w:bCs w:val="1"/>
          <w:u w:val="single" w:color="auto"/>
          <w:color w:val="auto"/>
        </w:rPr>
        <w:t>Accounting Standards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24"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request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with copies of all approval, license, consent, registration and filing documents obtained by it under Paragraph 4, Article 15.1 (</w:t>
      </w:r>
      <w:r>
        <w:rPr>
          <w:rFonts w:ascii="Times New Roman" w:cs="Times New Roman" w:eastAsia="Times New Roman" w:hAnsi="Times New Roman"/>
          <w:sz w:val="19"/>
          <w:szCs w:val="19"/>
          <w:i w:val="1"/>
          <w:iCs w:val="1"/>
          <w:color w:val="auto"/>
        </w:rPr>
        <w:t>Positive Covenants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16"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request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provide 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with copies of all insurance policies or insurance contracts purchased by it pursuant to Paragraph 6, Article 15.1 (</w:t>
      </w:r>
      <w:r>
        <w:rPr>
          <w:rFonts w:ascii="Times New Roman" w:cs="Times New Roman" w:eastAsia="Times New Roman" w:hAnsi="Times New Roman"/>
          <w:sz w:val="19"/>
          <w:szCs w:val="19"/>
          <w:i w:val="1"/>
          <w:iCs w:val="1"/>
          <w:color w:val="auto"/>
        </w:rPr>
        <w:t>Positive Covenants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751"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provides financial statements or copies of other materials pursuant to the provisions of this Article, it shall simultaneously provide a certificate signed by a director or financial person-in-charge of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and affixed with the company’s official seal, certifying that such copies are consistent with the originals and that the information disclosed therein is accurate, complete and up-to-date.</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738"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provides financial statements specified in this Article, it shall simultaneously provide a certificate signed by a director or financial person-in-charge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affixed with the company’s official seal, setting forth the calculation basis and results of various financial indicators in reasonable detail.</w:t>
      </w:r>
    </w:p>
    <w:p>
      <w:pPr>
        <w:spacing w:after="0" w:line="17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request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promptly provide records and materials relating to the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materials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be true, complete and valid.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8. Notification Obligations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If any of the following events occurs or may occur,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writing within </w:t>
      </w:r>
      <w:r>
        <w:rPr>
          <w:rFonts w:ascii="Times New Roman" w:cs="Times New Roman" w:eastAsia="Times New Roman" w:hAnsi="Times New Roman"/>
          <w:sz w:val="19"/>
          <w:szCs w:val="19"/>
          <w:u w:val="single" w:color="auto"/>
          <w:color w:val="auto"/>
        </w:rPr>
        <w:t>five (5)</w:t>
      </w:r>
      <w:r>
        <w:rPr>
          <w:rFonts w:ascii="Times New Roman" w:cs="Times New Roman" w:eastAsia="Times New Roman" w:hAnsi="Times New Roman"/>
          <w:sz w:val="19"/>
          <w:szCs w:val="19"/>
          <w:color w:val="auto"/>
        </w:rPr>
        <w:t xml:space="preserve"> working days: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(1) Deterioration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operating and financial conditions that affects or may affect its debt repayment ability;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82" w:lineRule="exact"/>
        <w:rPr>
          <w:sz w:val="20"/>
          <w:szCs w:val="20"/>
          <w:color w:val="auto"/>
        </w:rPr>
      </w:pPr>
    </w:p>
    <w:p>
      <w:pPr>
        <w:jc w:val="both"/>
        <w:ind w:right="40" w:firstLine="451"/>
        <w:spacing w:after="0" w:line="245" w:lineRule="auto"/>
        <w:tabs>
          <w:tab w:leader="none" w:pos="731"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being involved or about to be involved as a defendant, respondent or person subject to enforcement in litigation, arbitration proceedings or other legal disputes that affect the security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claims hereunder; or the occurrence of any court action, arbitration, administrative proceeding, enforcement proceeding by judicial or administrative authorities, or other similar proceedings initiated by any other person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or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against any other person, with a subject amount of RMB [5,000,000] or more;</w:t>
      </w:r>
    </w:p>
    <w:p>
      <w:pPr>
        <w:spacing w:after="0" w:line="180"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name, legal representative, domicile, contact telephone number or other information;</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711"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Directors, officers or actual controllers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being involved in major cases or economic disputes, or becoming unreachable or unavailable for meeting;</w:t>
      </w:r>
    </w:p>
    <w:p>
      <w:pPr>
        <w:spacing w:after="0" w:line="15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Occurrence of any event that renders the representations and warranties made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hereunder untrue, inaccurate or invalid;</w:t>
      </w:r>
    </w:p>
    <w:p>
      <w:pPr>
        <w:spacing w:after="0" w:line="213" w:lineRule="exact"/>
        <w:rPr>
          <w:rFonts w:ascii="Times New Roman" w:cs="Times New Roman" w:eastAsia="Times New Roman" w:hAnsi="Times New Roman"/>
          <w:sz w:val="19"/>
          <w:szCs w:val="19"/>
          <w:color w:val="auto"/>
        </w:rPr>
      </w:pPr>
    </w:p>
    <w:p>
      <w:pPr>
        <w:jc w:val="both"/>
        <w:ind w:right="60" w:firstLine="451"/>
        <w:spacing w:after="0" w:line="248" w:lineRule="auto"/>
        <w:tabs>
          <w:tab w:leader="none" w:pos="728"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Assets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or their controlling shareholders or actual controllers being seized, sealed up, frozen, subject to enforcement, or subject to other measures of the same effect; or the legal representative/ person-in-charge of the Borrower, any Security Provider or the aforementioned persons being involved in litigation, arbitration or other compulsory measures that severely affect the Borrower’s repayment ability;</w:t>
      </w:r>
    </w:p>
    <w:p>
      <w:pPr>
        <w:spacing w:after="0" w:line="17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Occurrence of any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Potential Event of Default</w:t>
      </w:r>
      <w:r>
        <w:rPr>
          <w:rFonts w:ascii="Times New Roman" w:cs="Times New Roman" w:eastAsia="Times New Roman" w:hAnsi="Times New Roman"/>
          <w:sz w:val="19"/>
          <w:szCs w:val="19"/>
          <w:color w:val="auto"/>
        </w:rPr>
        <w:t xml:space="preserve">, or occurrence of any event that has or may have a </w:t>
      </w:r>
      <w:r>
        <w:rPr>
          <w:rFonts w:ascii="Times New Roman" w:cs="Times New Roman" w:eastAsia="Times New Roman" w:hAnsi="Times New Roman"/>
          <w:sz w:val="19"/>
          <w:szCs w:val="19"/>
          <w:b w:val="1"/>
          <w:bCs w:val="1"/>
          <w:u w:val="single" w:color="auto"/>
          <w:color w:val="auto"/>
        </w:rPr>
        <w:t>Material Adverse</w:t>
      </w:r>
    </w:p>
    <w:p>
      <w:pPr>
        <w:spacing w:after="0" w:line="2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Effect</w:t>
      </w:r>
      <w:r>
        <w:rPr>
          <w:rFonts w:ascii="Times New Roman" w:cs="Times New Roman" w:eastAsia="Times New Roman" w:hAnsi="Times New Roman"/>
          <w:sz w:val="19"/>
          <w:szCs w:val="19"/>
          <w:color w:val="auto"/>
        </w:rPr>
        <w:t>;</w:t>
      </w:r>
    </w:p>
    <w:p>
      <w:pPr>
        <w:spacing w:after="0" w:line="189"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material investment projects;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Abnormal changes in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operating costs;</w:t>
      </w:r>
    </w:p>
    <w:p>
      <w:pPr>
        <w:spacing w:after="0" w:line="213"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Material adverse changes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brand, customers, marketing channels, etc.;</w:t>
      </w:r>
    </w:p>
    <w:p>
      <w:pPr>
        <w:spacing w:after="0" w:line="217" w:lineRule="exact"/>
        <w:rPr>
          <w:rFonts w:ascii="Times New Roman" w:cs="Times New Roman" w:eastAsia="Times New Roman" w:hAnsi="Times New Roman"/>
          <w:sz w:val="19"/>
          <w:szCs w:val="19"/>
          <w:color w:val="auto"/>
        </w:rPr>
      </w:pPr>
    </w:p>
    <w:p>
      <w:pPr>
        <w:jc w:val="both"/>
        <w:ind w:right="60" w:firstLine="451"/>
        <w:spacing w:after="0" w:line="251" w:lineRule="auto"/>
        <w:tabs>
          <w:tab w:leader="none" w:pos="828"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Occurrence of connected transactions totaling 10% or more of its net assets (in such case, the Borrower shall include the following information: the connected relationship among the transaction parties, transaction items and nature, transaction amount and corresponding proportion, pricing policies, etc.);</w:t>
      </w:r>
    </w:p>
    <w:p>
      <w:pPr>
        <w:spacing w:after="0" w:line="174"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Occurrence of other events that affect or may affect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repayment ability.</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If any of the following events occurs or may occur,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writing </w:t>
      </w:r>
      <w:r>
        <w:rPr>
          <w:rFonts w:ascii="Times New Roman" w:cs="Times New Roman" w:eastAsia="Times New Roman" w:hAnsi="Times New Roman"/>
          <w:sz w:val="19"/>
          <w:szCs w:val="19"/>
          <w:u w:val="single" w:color="auto"/>
          <w:color w:val="auto"/>
        </w:rPr>
        <w:t>five (5)</w:t>
      </w:r>
      <w:r>
        <w:rPr>
          <w:rFonts w:ascii="Times New Roman" w:cs="Times New Roman" w:eastAsia="Times New Roman" w:hAnsi="Times New Roman"/>
          <w:sz w:val="19"/>
          <w:szCs w:val="19"/>
          <w:color w:val="auto"/>
        </w:rPr>
        <w:t xml:space="preserve"> working days (or </w:t>
      </w:r>
      <w:r>
        <w:rPr>
          <w:rFonts w:ascii="Times New Roman" w:cs="Times New Roman" w:eastAsia="Times New Roman" w:hAnsi="Times New Roman"/>
          <w:sz w:val="19"/>
          <w:szCs w:val="19"/>
          <w:u w:val="single" w:color="auto"/>
          <w:color w:val="auto"/>
        </w:rPr>
        <w:t>three (3)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working days in case of emergency):</w:t>
      </w:r>
    </w:p>
    <w:p>
      <w:pPr>
        <w:spacing w:after="0" w:line="190" w:lineRule="exact"/>
        <w:rPr>
          <w:sz w:val="20"/>
          <w:szCs w:val="20"/>
          <w:color w:val="auto"/>
        </w:rPr>
      </w:pPr>
    </w:p>
    <w:p>
      <w:pPr>
        <w:jc w:val="both"/>
        <w:ind w:right="60" w:firstLine="451"/>
        <w:spacing w:after="0" w:line="253" w:lineRule="auto"/>
        <w:tabs>
          <w:tab w:leader="none" w:pos="745"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undergoing division, system restructuring, merger, termination, joint venture, equity transfer, asset sale, acquisition, shareholding system reform, bankruptcy or liquidation, or making outward investments, providing security, or incurring material additional debt financing that may affect its repayment ability;</w:t>
      </w:r>
    </w:p>
    <w:p>
      <w:pPr>
        <w:spacing w:after="0" w:line="17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business scope and registered capital;</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Changes to the top five shareholders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 terms of capital contribution or shareholding;</w:t>
      </w:r>
    </w:p>
    <w:p>
      <w:pPr>
        <w:spacing w:after="0" w:line="213" w:lineRule="exact"/>
        <w:rPr>
          <w:rFonts w:ascii="Times New Roman" w:cs="Times New Roman" w:eastAsia="Times New Roman" w:hAnsi="Times New Roman"/>
          <w:sz w:val="19"/>
          <w:szCs w:val="19"/>
          <w:color w:val="auto"/>
        </w:rPr>
      </w:pPr>
    </w:p>
    <w:p>
      <w:pPr>
        <w:ind w:right="40" w:firstLine="451"/>
        <w:spacing w:after="0" w:line="270" w:lineRule="auto"/>
        <w:tabs>
          <w:tab w:leader="none" w:pos="718"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amending the terms of its debt with other financial institutions or other interest-bearing financing, or prepaying its long-term debt, or repaying large-scale debts owed to its shareholders or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2" w:lineRule="exact"/>
        <w:rPr>
          <w:sz w:val="20"/>
          <w:szCs w:val="20"/>
          <w:color w:val="auto"/>
        </w:rPr>
      </w:pPr>
    </w:p>
    <w:p>
      <w:pPr>
        <w:ind w:right="40" w:firstLine="451"/>
        <w:spacing w:after="0" w:line="270" w:lineRule="auto"/>
        <w:tabs>
          <w:tab w:leader="none" w:pos="711"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being unable to pay its due debts, or conducting debt restructuring, or entering or about to enter into suspension of business, rectification, liquidation, bankruptcy, dissolution or similar legal proceedings.</w:t>
      </w:r>
    </w:p>
    <w:p>
      <w:pPr>
        <w:spacing w:after="0" w:line="156"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If any of the following events occurs or may occur,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inform the Agent in writing ten (10) working days, and obtain the prior written consent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right="40" w:firstLine="451"/>
        <w:spacing w:after="0" w:line="246" w:lineRule="auto"/>
        <w:tabs>
          <w:tab w:leader="none" w:pos="727"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Being contracted for operation, leased, operated under joint venture, material outward investment, change of actual controller or major shareholder, shareholding system reform, merger (acquisition), joint venture (cooperation), division, establishment of subsidiaries, property transfer, capital reduction, suspension of business, dissolution, application for bankruptcy, reorganization or cancellation, or any other acts that may affect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repayment ability;</w:t>
      </w:r>
    </w:p>
    <w:p>
      <w:pPr>
        <w:spacing w:after="0" w:line="184" w:lineRule="exact"/>
        <w:rPr>
          <w:rFonts w:ascii="Times New Roman" w:cs="Times New Roman" w:eastAsia="Times New Roman" w:hAnsi="Times New Roman"/>
          <w:sz w:val="19"/>
          <w:szCs w:val="19"/>
          <w:color w:val="auto"/>
        </w:rPr>
      </w:pPr>
    </w:p>
    <w:p>
      <w:pPr>
        <w:ind w:right="60" w:firstLine="451"/>
        <w:spacing w:after="0" w:line="265" w:lineRule="auto"/>
        <w:tabs>
          <w:tab w:leader="none" w:pos="72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Transferring (including by way of sale, gift, debt settlement, exchange, etc.), mortgaging, pledging or otherwise disposing of all or most of its material assets;</w:t>
      </w:r>
    </w:p>
    <w:p>
      <w:pPr>
        <w:spacing w:after="0" w:line="165"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changes to the dividend policy that may affect the Borrower’s repayment ability;</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Incurring new material debts or providing external security;</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Occurrence of other material events affecting its continuous operation;</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events: [ / ].</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9. Compliance with Financial Indicators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comply with the following financial indicators:</w:t>
      </w:r>
    </w:p>
    <w:p>
      <w:pPr>
        <w:spacing w:after="0" w:line="218" w:lineRule="exact"/>
        <w:rPr>
          <w:sz w:val="20"/>
          <w:szCs w:val="20"/>
          <w:color w:val="auto"/>
        </w:rPr>
      </w:pPr>
    </w:p>
    <w:p>
      <w:pPr>
        <w:jc w:val="both"/>
        <w:ind w:left="1000" w:right="120" w:firstLine="3"/>
        <w:spacing w:after="0" w:line="257" w:lineRule="auto"/>
        <w:rPr>
          <w:sz w:val="20"/>
          <w:szCs w:val="20"/>
          <w:color w:val="auto"/>
        </w:rPr>
      </w:pPr>
      <w:r>
        <w:rPr>
          <w:rFonts w:ascii="Times New Roman" w:cs="Times New Roman" w:eastAsia="Times New Roman" w:hAnsi="Times New Roman"/>
          <w:sz w:val="18"/>
          <w:szCs w:val="18"/>
          <w:color w:val="auto"/>
        </w:rPr>
        <w:t xml:space="preserve">[(1) Rental unit price: In respect of the leasing of the non-self-use portion of the [Redacted], the Target Asset (Leasing by the Borrower’s affiliates [which refer to the parent company, subsidiaries, and other companies under the control of the same parent company of the Borrower] shall be regarded as “self-use”), the average leasing unit price shall not be lower than [Redacted] of the average leasing unit price of the previous year (Calculation formula: Average leasing unit price = Sales revenue from leasing of non-self-use portion / Leased area of non-self-use portion). If it is lower than [Redacted],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xml:space="preserve"> shall retain sufficient funds in the fund regulatory account to cover the principal and interest repayments for at least the next six months. If the average unit price falls by more than [Redacted] for two consecutive years,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 xml:space="preserve"> shall have the right to require the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xml:space="preserve"> to prepay the loan.]</w:t>
      </w:r>
    </w:p>
    <w:p>
      <w:pPr>
        <w:spacing w:after="0" w:line="176" w:lineRule="exact"/>
        <w:rPr>
          <w:sz w:val="20"/>
          <w:szCs w:val="20"/>
          <w:color w:val="auto"/>
        </w:rPr>
      </w:pPr>
    </w:p>
    <w:p>
      <w:pPr>
        <w:jc w:val="both"/>
        <w:ind w:left="1000" w:right="120" w:firstLine="3"/>
        <w:spacing w:after="0" w:line="246" w:lineRule="auto"/>
        <w:rPr>
          <w:sz w:val="20"/>
          <w:szCs w:val="20"/>
          <w:color w:val="auto"/>
        </w:rPr>
      </w:pPr>
      <w:r>
        <w:rPr>
          <w:rFonts w:ascii="Times New Roman" w:cs="Times New Roman" w:eastAsia="Times New Roman" w:hAnsi="Times New Roman"/>
          <w:sz w:val="19"/>
          <w:szCs w:val="19"/>
          <w:color w:val="auto"/>
        </w:rPr>
        <w:t xml:space="preserve">[The leasing rate of the non-self-use portion of the [Redacted], the Target Asset, shall not be lower than [Redacted]. If it is lower than [Redacted],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retain sufficient funds in the fund regulatory account to cover the principal and interest repayments for at least the next six months. If the leasing rate of the non-self-use portion is lower than [Redacted],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shall have the right to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prepay the loan.]</w:t>
      </w:r>
    </w:p>
    <w:p>
      <w:pPr>
        <w:spacing w:after="0" w:line="180" w:lineRule="exact"/>
        <w:rPr>
          <w:sz w:val="20"/>
          <w:szCs w:val="20"/>
          <w:color w:val="auto"/>
        </w:rPr>
      </w:pPr>
    </w:p>
    <w:p>
      <w:pPr>
        <w:jc w:val="both"/>
        <w:ind w:left="1000" w:right="120" w:firstLine="3"/>
        <w:spacing w:after="0" w:line="248" w:lineRule="auto"/>
        <w:rPr>
          <w:sz w:val="20"/>
          <w:szCs w:val="20"/>
          <w:color w:val="auto"/>
        </w:rPr>
      </w:pPr>
      <w:r>
        <w:rPr>
          <w:rFonts w:ascii="Times New Roman" w:cs="Times New Roman" w:eastAsia="Times New Roman" w:hAnsi="Times New Roman"/>
          <w:sz w:val="19"/>
          <w:szCs w:val="19"/>
          <w:color w:val="auto"/>
        </w:rPr>
        <w:t xml:space="preserve">[(2) The financial indicators in respect of Jirong Yunke Information Technology Co., Ltd.,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parent company, are agreed as follows: (i) its net leverage ratio shall not be higher than [Redacted] (Calculation formula: Net leverage ratio = (Interest-bearing financial liabilities – Book cash and cash equivalents) / EBITDA); (ii) interest coverage ratio shall not be lower than [Redacted] times (Calculation formula: Interest coverage ratio = EBITDA / Interest expense).</w:t>
      </w:r>
    </w:p>
    <w:p>
      <w:pPr>
        <w:spacing w:after="0" w:line="181" w:lineRule="exact"/>
        <w:rPr>
          <w:sz w:val="20"/>
          <w:szCs w:val="20"/>
          <w:color w:val="auto"/>
        </w:rPr>
      </w:pPr>
    </w:p>
    <w:p>
      <w:pPr>
        <w:jc w:val="both"/>
        <w:ind w:left="1000" w:right="120" w:firstLine="3"/>
        <w:spacing w:after="0" w:line="265" w:lineRule="auto"/>
        <w:rPr>
          <w:sz w:val="20"/>
          <w:szCs w:val="20"/>
          <w:color w:val="auto"/>
        </w:rPr>
      </w:pPr>
      <w:r>
        <w:rPr>
          <w:rFonts w:ascii="Times New Roman" w:cs="Times New Roman" w:eastAsia="Times New Roman" w:hAnsi="Times New Roman"/>
          <w:sz w:val="19"/>
          <w:szCs w:val="19"/>
          <w:color w:val="auto"/>
        </w:rPr>
        <w:t>(Note: The above financial indicators shall be monitored based on the annual financial statement data. As the parent company Jirong Yunke Information Technology Co., Ltd.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86" w:lineRule="exact"/>
        <w:rPr>
          <w:sz w:val="20"/>
          <w:szCs w:val="20"/>
          <w:color w:val="auto"/>
        </w:rPr>
      </w:pPr>
    </w:p>
    <w:p>
      <w:pPr>
        <w:jc w:val="both"/>
        <w:ind w:left="1000" w:right="120"/>
        <w:spacing w:after="0" w:line="251" w:lineRule="auto"/>
        <w:rPr>
          <w:sz w:val="20"/>
          <w:szCs w:val="20"/>
          <w:color w:val="auto"/>
        </w:rPr>
      </w:pPr>
      <w:r>
        <w:rPr>
          <w:rFonts w:ascii="Times New Roman" w:cs="Times New Roman" w:eastAsia="Times New Roman" w:hAnsi="Times New Roman"/>
          <w:sz w:val="19"/>
          <w:szCs w:val="19"/>
          <w:color w:val="auto"/>
        </w:rPr>
        <w:t>has no consolidated financial statements, interest-bearing financial liabilities and interest expenses shall be calculated based on the combined annual financial statements of Jirong Yunke Information Technology Co., Ltd. and the Borrower, and book cash and EBITDA shall be calculated based on the independent financial statements of Jirong Yunke Information Technology Co., Ltd.).]</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10. Loan Management</w:t>
      </w:r>
    </w:p>
    <w:p>
      <w:pPr>
        <w:spacing w:after="0" w:line="214" w:lineRule="exact"/>
        <w:rPr>
          <w:sz w:val="20"/>
          <w:szCs w:val="20"/>
          <w:color w:val="auto"/>
        </w:rPr>
      </w:pPr>
    </w:p>
    <w:p>
      <w:pPr>
        <w:jc w:val="both"/>
        <w:ind w:right="40" w:firstLine="443"/>
        <w:spacing w:after="0" w:line="245"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inspect and monitor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use of each </w:t>
      </w:r>
      <w:r>
        <w:rPr>
          <w:rFonts w:ascii="Times New Roman" w:cs="Times New Roman" w:eastAsia="Times New Roman" w:hAnsi="Times New Roman"/>
          <w:sz w:val="19"/>
          <w:szCs w:val="19"/>
          <w:b w:val="1"/>
          <w:bCs w:val="1"/>
          <w:u w:val="single" w:color="auto"/>
          <w:color w:val="auto"/>
        </w:rPr>
        <w:t>Loan Fund</w:t>
      </w:r>
      <w:r>
        <w:rPr>
          <w:rFonts w:ascii="Times New Roman" w:cs="Times New Roman" w:eastAsia="Times New Roman" w:hAnsi="Times New Roman"/>
          <w:sz w:val="19"/>
          <w:szCs w:val="19"/>
          <w:color w:val="auto"/>
        </w:rPr>
        <w:t xml:space="preserve"> at any time, and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cooperate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in such loan payment management, post-loan management and relevant inspections. The Agent’s methods of inspection and monitoring include but are not limited to the following: (i) requiring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provide valid supporting materials regarding its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(ii) conducting account analysis, voucher verification or on-site investigation on the use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and (iii) other methods permitted by laws and regulations.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11. Green Finance</w:t>
      </w:r>
    </w:p>
    <w:p>
      <w:pPr>
        <w:spacing w:after="0" w:line="214" w:lineRule="exact"/>
        <w:rPr>
          <w:sz w:val="20"/>
          <w:szCs w:val="20"/>
          <w:color w:val="auto"/>
        </w:rPr>
      </w:pPr>
    </w:p>
    <w:p>
      <w:pPr>
        <w:jc w:val="both"/>
        <w:ind w:right="40" w:firstLine="443"/>
        <w:spacing w:after="0" w:line="242" w:lineRule="auto"/>
        <w:rPr>
          <w:sz w:val="20"/>
          <w:szCs w:val="20"/>
          <w:color w:val="auto"/>
        </w:rPr>
      </w:pPr>
      <w:r>
        <w:rPr>
          <w:rFonts w:ascii="Times New Roman" w:cs="Times New Roman" w:eastAsia="Times New Roman" w:hAnsi="Times New Roman"/>
          <w:sz w:val="19"/>
          <w:szCs w:val="19"/>
          <w:u w:val="single" w:color="auto"/>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represents and warrants that it will strengthen its own environmental, social and governance risk management, and undertakes to accept supervision by the Lenders. Any Lender shall have the right to take the Borrower’s management of environmental, social and governance risks as an important basis for the disbursement of financing funds. If the Borrower or its investment projects involve material environmental, social and governance risks, or upon request by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u w:val="single" w:color="auto"/>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shall submit its environmental, social and governance risk management report. 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breaches the said agreement, or material hidden risks relating to environmental, social and governance matters arise, such event shall constitute an Event of Default hereunder or an event affecting the security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u w:val="single" w:color="auto"/>
          <w:color w:val="auto"/>
        </w:rPr>
        <w:t xml:space="preserve">’ claims, in which case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u w:val="single" w:color="auto"/>
          <w:color w:val="auto"/>
        </w:rPr>
        <w:t xml:space="preserve"> shall have the right to take corresponding remedies in accordance with the provisions hereof and pursue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’s legal liability.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12. Others</w:t>
      </w:r>
    </w:p>
    <w:p>
      <w:pPr>
        <w:spacing w:after="0" w:line="218" w:lineRule="exact"/>
        <w:rPr>
          <w:sz w:val="20"/>
          <w:szCs w:val="20"/>
          <w:color w:val="auto"/>
        </w:rPr>
      </w:pPr>
    </w:p>
    <w:p>
      <w:pPr>
        <w:jc w:val="both"/>
        <w:ind w:right="60" w:firstLine="443"/>
        <w:spacing w:after="0" w:line="246" w:lineRule="auto"/>
        <w:rPr>
          <w:sz w:val="20"/>
          <w:szCs w:val="20"/>
          <w:color w:val="auto"/>
        </w:rPr>
      </w:pPr>
      <w:r>
        <w:rPr>
          <w:rFonts w:ascii="Times New Roman" w:cs="Times New Roman" w:eastAsia="Times New Roman" w:hAnsi="Times New Roman"/>
          <w:sz w:val="19"/>
          <w:szCs w:val="19"/>
          <w:u w:val="single" w:color="auto"/>
          <w:color w:val="auto"/>
        </w:rPr>
        <w:t>The Borrower, its parent company participating in the M&amp;A (if any), and the target enterprise possess the qualification to legally conduct the M&amp;A transaction hereunder. If the target enterprise operates in a specific industry, the Borrower and its parent company participating in the M&amp;A (if any) have obtained all necessary qualification certificates or approvals for entering such industry, and such qualification certificates or approvals remain valid and effective.</w:t>
      </w:r>
    </w:p>
    <w:p>
      <w:pPr>
        <w:spacing w:after="0" w:line="184" w:lineRule="exact"/>
        <w:rPr>
          <w:sz w:val="20"/>
          <w:szCs w:val="20"/>
          <w:color w:val="auto"/>
        </w:rPr>
      </w:pPr>
    </w:p>
    <w:p>
      <w:pPr>
        <w:jc w:val="both"/>
        <w:ind w:right="40" w:firstLine="443"/>
        <w:spacing w:after="0" w:line="246" w:lineRule="auto"/>
        <w:rPr>
          <w:sz w:val="20"/>
          <w:szCs w:val="20"/>
          <w:color w:val="auto"/>
        </w:rPr>
      </w:pPr>
      <w:r>
        <w:rPr>
          <w:rFonts w:ascii="Times New Roman" w:cs="Times New Roman" w:eastAsia="Times New Roman" w:hAnsi="Times New Roman"/>
          <w:sz w:val="19"/>
          <w:szCs w:val="19"/>
          <w:u w:val="single" w:color="auto"/>
          <w:color w:val="auto"/>
        </w:rPr>
        <w:t>The M&amp;A transaction hereunder conform to laws, regulations and rules, and all necessary approvals has been obtained with respect thereto. The Borrower has completed all approval, registration, announcement, delivery, insurance and other statutory procedures relating to the M&amp;A transaction and the loan hereunder in accordance with laws, regulations and rules, and all M&amp;A compliance conditions have been satisfied. All funding sources of the M&amp;A transaction do not violate any restrictive provisions of laws, regulations or rules.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15.2 Negative Covenants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 Security Interests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ensure that no Security Interest is created or exists on any of its assets (other than the </w:t>
      </w:r>
      <w:r>
        <w:rPr>
          <w:rFonts w:ascii="Times New Roman" w:cs="Times New Roman" w:eastAsia="Times New Roman" w:hAnsi="Times New Roman"/>
          <w:sz w:val="19"/>
          <w:szCs w:val="19"/>
          <w:b w:val="1"/>
          <w:bCs w:val="1"/>
          <w:u w:val="single" w:color="auto"/>
          <w:color w:val="auto"/>
        </w:rPr>
        <w:t>Security Interest</w:t>
      </w:r>
      <w:r>
        <w:rPr>
          <w:rFonts w:ascii="Times New Roman" w:cs="Times New Roman" w:eastAsia="Times New Roman" w:hAnsi="Times New Roman"/>
          <w:sz w:val="19"/>
          <w:szCs w:val="19"/>
          <w:color w:val="auto"/>
        </w:rPr>
        <w:t xml:space="preserve"> created pursuant to the </w:t>
      </w:r>
      <w:r>
        <w:rPr>
          <w:rFonts w:ascii="Times New Roman" w:cs="Times New Roman" w:eastAsia="Times New Roman" w:hAnsi="Times New Roman"/>
          <w:sz w:val="19"/>
          <w:szCs w:val="19"/>
          <w:b w:val="1"/>
          <w:bCs w:val="1"/>
          <w:u w:val="single" w:color="auto"/>
          <w:color w:val="auto"/>
        </w:rPr>
        <w:t>Security Documents</w:t>
      </w:r>
      <w:r>
        <w:rPr>
          <w:rFonts w:ascii="Times New Roman" w:cs="Times New Roman" w:eastAsia="Times New Roman" w:hAnsi="Times New Roman"/>
          <w:sz w:val="19"/>
          <w:szCs w:val="19"/>
          <w:color w:val="auto"/>
        </w:rPr>
        <w:t xml:space="preserve">) unless the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has been obtained.</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 Disposal of Assets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Without prior written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sell, lease (other than the leases involved in the </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color w:val="auto"/>
        </w:rPr>
        <w:t>), assign, transfer or otherwise dispose of any of its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material assets through a single transaction, multiple transactions or a series of connected transactions.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3. Division and Merger</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Without prior written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undergo any merger, division, contracted operation or similar arrangement.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4. Capital Reduction</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Without prior written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reduce its registered capital.</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5. Restrictions on Dividend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distribute or pay any dividends to shareholders or make any form of distribution to shareholders.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 Use of Loan Funds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use the Loan Funds hereunder for any purpose other than the purposes as agreed herein.</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 Equity Transfer</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Without prior written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no changes shall occur to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’s shareholders and shareholding proportions (including any changes or alterations arising through trust, shareholding nomination, investment or other arrangements). If the Borrower’s equity is changed with prior written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the equity transaction proceeds obtained from such change shall be used first to repay the loan hereunder.</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(3) Permitted Investments and Indebtedness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incur any other outward investments or Indebtedness other than the </w:t>
      </w:r>
      <w:r>
        <w:rPr>
          <w:rFonts w:ascii="Times New Roman" w:cs="Times New Roman" w:eastAsia="Times New Roman" w:hAnsi="Times New Roman"/>
          <w:sz w:val="19"/>
          <w:szCs w:val="19"/>
          <w:b w:val="1"/>
          <w:bCs w:val="1"/>
          <w:u w:val="single" w:color="auto"/>
          <w:color w:val="auto"/>
        </w:rPr>
        <w:t>Permitted Investments and Indebtedness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(4) Others</w:t>
      </w:r>
    </w:p>
    <w:p>
      <w:pPr>
        <w:spacing w:after="0" w:line="218" w:lineRule="exact"/>
        <w:rPr>
          <w:sz w:val="20"/>
          <w:szCs w:val="20"/>
          <w:color w:val="auto"/>
        </w:rPr>
      </w:pPr>
    </w:p>
    <w:p>
      <w:pPr>
        <w:ind w:right="60" w:firstLine="451"/>
        <w:spacing w:after="0" w:line="265" w:lineRule="auto"/>
        <w:tabs>
          <w:tab w:leader="none" w:pos="707" w:val="left"/>
        </w:tabs>
        <w:numPr>
          <w:ilvl w:val="0"/>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Refinancing shall not be conducted using the Project / Project assets involved in the M&amp;A transaction (including but not limited to fixed assets, operating income, etc.);</w:t>
      </w:r>
    </w:p>
    <w:p>
      <w:pPr>
        <w:spacing w:after="0" w:line="161" w:lineRule="exact"/>
        <w:rPr>
          <w:rFonts w:ascii="Times New Roman" w:cs="Times New Roman" w:eastAsia="Times New Roman" w:hAnsi="Times New Roman"/>
          <w:sz w:val="19"/>
          <w:szCs w:val="19"/>
          <w:u w:val="single" w:color="auto"/>
          <w:color w:val="auto"/>
        </w:rPr>
      </w:pPr>
    </w:p>
    <w:p>
      <w:pPr>
        <w:ind w:right="60" w:firstLine="451"/>
        <w:spacing w:after="0" w:line="270" w:lineRule="auto"/>
        <w:tabs>
          <w:tab w:leader="none" w:pos="731" w:val="left"/>
        </w:tabs>
        <w:numPr>
          <w:ilvl w:val="0"/>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shall not pledge its equity to third parties, and shall not provide any form of security to third parties (except for the security provided by the Borrower for the obligations hereunder);</w:t>
      </w:r>
    </w:p>
    <w:p>
      <w:pPr>
        <w:spacing w:after="0" w:line="160" w:lineRule="exact"/>
        <w:rPr>
          <w:rFonts w:ascii="Times New Roman" w:cs="Times New Roman" w:eastAsia="Times New Roman" w:hAnsi="Times New Roman"/>
          <w:sz w:val="19"/>
          <w:szCs w:val="19"/>
          <w:u w:val="single" w:color="auto"/>
          <w:color w:val="auto"/>
        </w:rPr>
      </w:pPr>
    </w:p>
    <w:p>
      <w:pPr>
        <w:ind w:right="40" w:firstLine="451"/>
        <w:spacing w:after="0" w:line="265" w:lineRule="auto"/>
        <w:tabs>
          <w:tab w:leader="none" w:pos="700" w:val="left"/>
        </w:tabs>
        <w:numPr>
          <w:ilvl w:val="0"/>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If the loans lent to the Borrower by the Borrower’s shareholders have been capitalized as capital contribution to the Borrower, such capital contribution shall not be withdrawn during the term of the loan hereunder;</w:t>
      </w:r>
    </w:p>
    <w:p>
      <w:pPr>
        <w:spacing w:after="0" w:line="165" w:lineRule="exact"/>
        <w:rPr>
          <w:rFonts w:ascii="Times New Roman" w:cs="Times New Roman" w:eastAsia="Times New Roman" w:hAnsi="Times New Roman"/>
          <w:sz w:val="19"/>
          <w:szCs w:val="19"/>
          <w:u w:val="single" w:color="auto"/>
          <w:color w:val="auto"/>
        </w:rPr>
      </w:pPr>
    </w:p>
    <w:p>
      <w:pPr>
        <w:jc w:val="both"/>
        <w:ind w:right="40" w:firstLine="451"/>
        <w:spacing w:after="0" w:line="251" w:lineRule="auto"/>
        <w:tabs>
          <w:tab w:leader="none" w:pos="716" w:val="left"/>
        </w:tabs>
        <w:numPr>
          <w:ilvl w:val="0"/>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 xml:space="preserve">The parent company Jirong Yunke Information Technology Co., Ltd. shall transfer the repayment and interest payment shortfall (i.e., the difference between the balance in the special account and all amounts payable on the Repayment Date and Interest Payment Date) to the </w:t>
      </w:r>
      <w:r>
        <w:rPr>
          <w:rFonts w:ascii="Times New Roman" w:cs="Times New Roman" w:eastAsia="Times New Roman" w:hAnsi="Times New Roman"/>
          <w:sz w:val="19"/>
          <w:szCs w:val="19"/>
          <w:b w:val="1"/>
          <w:bCs w:val="1"/>
          <w:u w:val="single" w:color="auto"/>
          <w:color w:val="auto"/>
        </w:rPr>
        <w:t>Loan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b w:val="1"/>
          <w:bCs w:val="1"/>
          <w:u w:val="single" w:color="auto"/>
          <w:color w:val="auto"/>
        </w:rPr>
        <w:t xml:space="preserve">Account </w:t>
      </w:r>
      <w:r>
        <w:rPr>
          <w:rFonts w:ascii="Times New Roman" w:cs="Times New Roman" w:eastAsia="Times New Roman" w:hAnsi="Times New Roman"/>
          <w:sz w:val="19"/>
          <w:szCs w:val="19"/>
          <w:u w:val="single" w:color="auto"/>
          <w:color w:val="auto"/>
        </w:rPr>
        <w:t>opened by the</w:t>
      </w:r>
      <w:r>
        <w:rPr>
          <w:rFonts w:ascii="Times New Roman" w:cs="Times New Roman" w:eastAsia="Times New Roman" w:hAnsi="Times New Roman"/>
          <w:sz w:val="19"/>
          <w:szCs w:val="19"/>
          <w:b w:val="1"/>
          <w:bCs w:val="1"/>
          <w:u w:val="single" w:color="auto"/>
          <w:color w:val="auto"/>
        </w:rPr>
        <w:t xml:space="preserve"> Borrower </w:t>
      </w:r>
      <w:r>
        <w:rPr>
          <w:rFonts w:ascii="Times New Roman" w:cs="Times New Roman" w:eastAsia="Times New Roman" w:hAnsi="Times New Roman"/>
          <w:sz w:val="19"/>
          <w:szCs w:val="19"/>
          <w:u w:val="single" w:color="auto"/>
          <w:color w:val="auto"/>
        </w:rPr>
        <w:t>at the</w:t>
      </w:r>
      <w:r>
        <w:rPr>
          <w:rFonts w:ascii="Times New Roman" w:cs="Times New Roman" w:eastAsia="Times New Roman" w:hAnsi="Times New Roman"/>
          <w:sz w:val="19"/>
          <w:szCs w:val="19"/>
          <w:b w:val="1"/>
          <w:bCs w:val="1"/>
          <w:u w:val="single" w:color="auto"/>
          <w:color w:val="auto"/>
        </w:rPr>
        <w:t xml:space="preserve"> Agent </w:t>
      </w:r>
      <w:r>
        <w:rPr>
          <w:rFonts w:ascii="Times New Roman" w:cs="Times New Roman" w:eastAsia="Times New Roman" w:hAnsi="Times New Roman"/>
          <w:sz w:val="19"/>
          <w:szCs w:val="19"/>
          <w:u w:val="single" w:color="auto"/>
          <w:color w:val="auto"/>
        </w:rPr>
        <w:t>within fifteen (15) working days prior to the Repayment Date and Interest Payment Date.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XVI. Events of Default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16.1 Events of Default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occurrence of any of the following events shall constitute 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hereunder:</w:t>
      </w:r>
    </w:p>
    <w:p>
      <w:pPr>
        <w:spacing w:after="0" w:line="214" w:lineRule="exact"/>
        <w:rPr>
          <w:sz w:val="20"/>
          <w:szCs w:val="20"/>
          <w:color w:val="auto"/>
        </w:rPr>
      </w:pPr>
    </w:p>
    <w:p>
      <w:pPr>
        <w:ind w:left="720" w:hanging="269"/>
        <w:spacing w:after="0"/>
        <w:tabs>
          <w:tab w:leader="none" w:pos="72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credit standing deteriorates;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operating and financial conditions significantly deteriorates;</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7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fails to use any </w:t>
      </w:r>
      <w:r>
        <w:rPr>
          <w:rFonts w:ascii="Times New Roman" w:cs="Times New Roman" w:eastAsia="Times New Roman" w:hAnsi="Times New Roman"/>
          <w:sz w:val="19"/>
          <w:szCs w:val="19"/>
          <w:b w:val="1"/>
          <w:bCs w:val="1"/>
          <w:color w:val="auto"/>
        </w:rPr>
        <w:t>Loan Funds</w:t>
      </w:r>
      <w:r>
        <w:rPr>
          <w:rFonts w:ascii="Times New Roman" w:cs="Times New Roman" w:eastAsia="Times New Roman" w:hAnsi="Times New Roman"/>
          <w:sz w:val="19"/>
          <w:szCs w:val="19"/>
          <w:color w:val="auto"/>
        </w:rPr>
        <w:t xml:space="preserve"> for the purpose specified herein, or alters the purpose of funds without the consent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or misappropriates funds or uses funds to engage in illegal or non-compliant transactions;</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711"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make external payment of the loan funds in the manner agreed herein, or uses the loan funds abnormally, or evades entrusted payment in any form;</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718"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the Target Asset fails to meet the financial indicators agreed herein (including that the rental unit price and occupancy rate of the Target Asset fail to meet the indicators agreed herein, 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parent company Jirong Yunke Information Technology Co., Ltd. fails to meet the financial indicators agreed herein, etc.);</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724"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refuses to accept or cooperate with the supervision and inspection conducted by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on the Borrower’s use of loan funds and relevant operating and financial activities (which do not affect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normal business operations);</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731"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carries out material events including division, system restructuring, merger, termination, joint venture, equity transfer, asset sale, acquisition, shareholding system reform, bankruptcy and liquidation without the consent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or makes outward investments, provides security, or incurs material additional debt financing that may affect its repayment ability;</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736"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representations made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under Article XIV (</w:t>
      </w:r>
      <w:r>
        <w:rPr>
          <w:rFonts w:ascii="Times New Roman" w:cs="Times New Roman" w:eastAsia="Times New Roman" w:hAnsi="Times New Roman"/>
          <w:sz w:val="19"/>
          <w:szCs w:val="19"/>
          <w:i w:val="1"/>
          <w:iCs w:val="1"/>
          <w:color w:val="auto"/>
        </w:rPr>
        <w:t>Representations and Warranties</w:t>
      </w:r>
      <w:r>
        <w:rPr>
          <w:rFonts w:ascii="Times New Roman" w:cs="Times New Roman" w:eastAsia="Times New Roman" w:hAnsi="Times New Roman"/>
          <w:sz w:val="19"/>
          <w:szCs w:val="19"/>
          <w:color w:val="auto"/>
        </w:rPr>
        <w:t xml:space="preserve">) hereof is untrue, inaccurate, incomplete or misleading in any material respect; 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comply with any of the obligations under Article XV (</w:t>
      </w:r>
      <w:r>
        <w:rPr>
          <w:rFonts w:ascii="Times New Roman" w:cs="Times New Roman" w:eastAsia="Times New Roman" w:hAnsi="Times New Roman"/>
          <w:sz w:val="19"/>
          <w:szCs w:val="19"/>
          <w:i w:val="1"/>
          <w:iCs w:val="1"/>
          <w:color w:val="auto"/>
        </w:rPr>
        <w:t>Covenants</w:t>
      </w:r>
      <w:r>
        <w:rPr>
          <w:rFonts w:ascii="Times New Roman" w:cs="Times New Roman" w:eastAsia="Times New Roman" w:hAnsi="Times New Roman"/>
          <w:sz w:val="19"/>
          <w:szCs w:val="19"/>
          <w:color w:val="auto"/>
        </w:rPr>
        <w:t xml:space="preserve">), or fails to perform or comply with any other obligation in accordance with the provisions of this Contract; 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breaches any of its representations, warranties and undertakings hereunder, or breaches any other obligation hereunder;</w:t>
      </w:r>
    </w:p>
    <w:p>
      <w:pPr>
        <w:spacing w:after="0" w:line="176" w:lineRule="exact"/>
        <w:rPr>
          <w:rFonts w:ascii="Times New Roman" w:cs="Times New Roman" w:eastAsia="Times New Roman" w:hAnsi="Times New Roman"/>
          <w:sz w:val="19"/>
          <w:szCs w:val="19"/>
          <w:color w:val="auto"/>
        </w:rPr>
      </w:pPr>
    </w:p>
    <w:p>
      <w:pPr>
        <w:ind w:right="60" w:firstLine="451"/>
        <w:spacing w:after="0" w:line="270" w:lineRule="auto"/>
        <w:tabs>
          <w:tab w:leader="none" w:pos="745"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provides false materials such as those without genuine trade/transaction backgrounds, or conceals its operating and financial facts;</w:t>
      </w:r>
    </w:p>
    <w:p>
      <w:pPr>
        <w:spacing w:after="0" w:line="156"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has adverse credit records or other default acts;</w:t>
      </w:r>
    </w:p>
    <w:p>
      <w:pPr>
        <w:spacing w:after="0" w:line="213"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Security Provider evades debts through connected transactions or other means;</w:t>
      </w:r>
    </w:p>
    <w:p>
      <w:pPr>
        <w:spacing w:after="0" w:line="21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826"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discounts or pledges with banks by means of false contracts or arrangements with any third party (including but not limited to notes receivable and accounts receivable without genuine trade backgrounds) to fraudulently obtain funds or credit facilities from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other banks;</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819"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repay any other due debts other than the obligations hereunder; or an Event of Default occurs under any other relevant documents in respect of Indebtedness owed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causing such debts to become prematurely due and payable or immediately due and payable; or any collateral securing the Borrower’s debts is enforced, thereby having a Material Adverse Effect on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performance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82" w:lineRule="exact"/>
        <w:rPr>
          <w:sz w:val="20"/>
          <w:szCs w:val="20"/>
          <w:color w:val="auto"/>
        </w:rPr>
      </w:pPr>
    </w:p>
    <w:p>
      <w:pPr>
        <w:jc w:val="both"/>
        <w:ind w:right="60" w:firstLine="451"/>
        <w:spacing w:after="0" w:line="248" w:lineRule="auto"/>
        <w:tabs>
          <w:tab w:leader="none" w:pos="805"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hereunder violates the provisions of laws, regulations, rules, etc. or the terms of the Security Documents; or any security hereunder does not take effect, becomes invalid or is revoked; or any adverse change affecting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claims occurs to any Security Provider or the collateral (pledge); or any Security Provider refuses to perform its security obligations; or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become invalid or unenforceable;</w:t>
      </w:r>
    </w:p>
    <w:p>
      <w:pPr>
        <w:spacing w:after="0" w:line="176" w:lineRule="exact"/>
        <w:rPr>
          <w:rFonts w:ascii="Times New Roman" w:cs="Times New Roman" w:eastAsia="Times New Roman" w:hAnsi="Times New Roman"/>
          <w:sz w:val="19"/>
          <w:szCs w:val="19"/>
          <w:color w:val="auto"/>
        </w:rPr>
      </w:pPr>
    </w:p>
    <w:p>
      <w:pPr>
        <w:ind w:right="60" w:firstLine="451"/>
        <w:spacing w:after="0" w:line="270" w:lineRule="auto"/>
        <w:tabs>
          <w:tab w:leader="none" w:pos="81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any Security Provider, or their respective legal representatives, management or actual controllers transfer assets, which in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opinion affects the security of their claims;</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826"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any Security Provider or their respective legal representatives, management or actual controllers are, as defendants, respondents or persons subject to enforcement, involved in or may be involved in litigation or arbitration cases affecting the security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claims hereunder, or are imposed or may be imposed any form of penalty or compulsory measures by administrative, law enforcement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judicial authorities, thereby affecting the Borrower’s repayment ability;</w:t>
      </w:r>
    </w:p>
    <w:p>
      <w:pPr>
        <w:spacing w:after="0" w:line="176" w:lineRule="exact"/>
        <w:rPr>
          <w:rFonts w:ascii="Times New Roman" w:cs="Times New Roman" w:eastAsia="Times New Roman" w:hAnsi="Times New Roman"/>
          <w:sz w:val="19"/>
          <w:szCs w:val="19"/>
          <w:color w:val="auto"/>
        </w:rPr>
      </w:pPr>
    </w:p>
    <w:p>
      <w:pPr>
        <w:ind w:right="40" w:firstLine="451"/>
        <w:spacing w:after="0" w:line="270" w:lineRule="auto"/>
        <w:tabs>
          <w:tab w:leader="none" w:pos="839"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xml:space="preserve"> undergoes suspension of business for rectification, dissolution, liquidation, bankruptcy, reorganization, rectification, pre-reorganization or similar events, or negative news unfavorable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such Security Provider occurs;</w:t>
      </w:r>
    </w:p>
    <w:p>
      <w:pPr>
        <w:spacing w:after="0" w:line="156"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legal representative or actual controller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Security Provider is unreachable or unavailable for meeting;</w:t>
      </w:r>
    </w:p>
    <w:p>
      <w:pPr>
        <w:spacing w:after="0" w:line="213" w:lineRule="exact"/>
        <w:rPr>
          <w:rFonts w:ascii="Times New Roman" w:cs="Times New Roman" w:eastAsia="Times New Roman" w:hAnsi="Times New Roman"/>
          <w:sz w:val="19"/>
          <w:szCs w:val="19"/>
          <w:color w:val="auto"/>
        </w:rPr>
      </w:pPr>
    </w:p>
    <w:p>
      <w:pPr>
        <w:ind w:left="820" w:hanging="369"/>
        <w:spacing w:after="0"/>
        <w:tabs>
          <w:tab w:leader="none" w:pos="82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notification event hereunder actually occurs, causing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to believe that the security of their claims will be affected;</w:t>
      </w:r>
    </w:p>
    <w:p>
      <w:pPr>
        <w:spacing w:after="0" w:line="213" w:lineRule="exact"/>
        <w:rPr>
          <w:rFonts w:ascii="Times New Roman" w:cs="Times New Roman" w:eastAsia="Times New Roman" w:hAnsi="Times New Roman"/>
          <w:sz w:val="19"/>
          <w:szCs w:val="19"/>
          <w:color w:val="auto"/>
        </w:rPr>
      </w:pPr>
    </w:p>
    <w:p>
      <w:pPr>
        <w:jc w:val="both"/>
        <w:ind w:right="40" w:firstLine="451"/>
        <w:spacing w:after="0"/>
        <w:tabs>
          <w:tab w:leader="none" w:pos="81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of the following events, which in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opinion may endanger the security of their claims hereunder: the </w:t>
      </w:r>
      <w:r>
        <w:rPr>
          <w:rFonts w:ascii="Times New Roman" w:cs="Times New Roman" w:eastAsia="Times New Roman" w:hAnsi="Times New Roman"/>
          <w:sz w:val="19"/>
          <w:szCs w:val="19"/>
          <w:b w:val="1"/>
          <w:bCs w:val="1"/>
          <w:color w:val="auto"/>
        </w:rPr>
        <w:t xml:space="preserve">Borrower </w:t>
      </w:r>
      <w:r>
        <w:rPr>
          <w:rFonts w:ascii="Times New Roman" w:cs="Times New Roman" w:eastAsia="Times New Roman" w:hAnsi="Times New Roman"/>
          <w:sz w:val="19"/>
          <w:szCs w:val="19"/>
          <w:color w:val="auto"/>
        </w:rPr>
        <w:t>and the Target Asset/</w:t>
      </w:r>
      <w:r>
        <w:rPr>
          <w:rFonts w:ascii="Times New Roman" w:cs="Times New Roman" w:eastAsia="Times New Roman" w:hAnsi="Times New Roman"/>
          <w:sz w:val="19"/>
          <w:szCs w:val="19"/>
          <w:b w:val="1"/>
          <w:bCs w:val="1"/>
          <w:u w:val="single" w:color="auto"/>
          <w:color w:val="auto"/>
        </w:rPr>
        <w:t>Project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contracted for operation, placed under trusteeship (takeover), leased, undergo shareholding system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reform, registered capital reduction, investment, joint operation, merger, acquisition, acquisition and restructuring, division, joint venture, application (or being applied) for suspension of business for rectification, application for dissolution, revocation, application (or be subject to application) for bankruptcy, change of important shareholders, material changes in business strategies, material asset transfer, changes in material investment projects, abnormal changes in operating costs, material adverse changes in brands/customers/marketing channels, incurrence of new material debts or external security, material asset sale, material changes in dividend policies, operating performance (including cash flow) failing to remain stable or growing, unsound corporate governance structure, unstable or incompetent management team, material financial indicators failing to continuously meet the requirements set forth in this Contract, production suspension, business closure, imposition of high fines by competent authorities, cancellation of registration, revocation of business license, involvement in material legal disputes, serious difficulties in production and operation or deterioration of financial conditions, inability of legal representative or principal person-in-charge to perform duties normally, and other material events affecting the continuous operation of the enterprise;</w:t>
      </w:r>
    </w:p>
    <w:p>
      <w:pPr>
        <w:spacing w:after="0" w:line="18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81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of the following events, which in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opinion may endanger the security of their claims hereunder: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fails to perform other due debts, incurs new material debts, transfers its assets at a low price or without compensation, waives debts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third parties, is negligent in exercising claims or other rights, or provides security for third parties;</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816"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shareholders of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abuse the independent status of the corporate legal person or the limited liability of shareholders to evade debts, which in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opinion may endanger the security of the claims hereunder;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82" w:lineRule="exact"/>
        <w:rPr>
          <w:sz w:val="20"/>
          <w:szCs w:val="20"/>
          <w:color w:val="auto"/>
        </w:rPr>
      </w:pPr>
    </w:p>
    <w:p>
      <w:pPr>
        <w:ind w:right="60" w:firstLine="451"/>
        <w:spacing w:after="0" w:line="270" w:lineRule="auto"/>
        <w:tabs>
          <w:tab w:leader="none" w:pos="805"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provide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with a written undertaking committing that the repayment order of shareholder loans (if any) shall be subordinated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acquisition loan;</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807"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of the following circumstances in relation to the M&amp;A, which in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opinion may endanger the security of the claims hereunder: the dividend policies of both parties to the M&amp;A affect the repayment source of the acquisition loan; fixed-income instruments used in the M&amp;A affect the repayment source of the acquisition loan; changes in exchange rates, interest rates and other factors affect the repayment source of the acquisition loan; the acquirer fails to achieve synergy with the Target Asset after the M&amp;A;</w:t>
      </w:r>
    </w:p>
    <w:p>
      <w:pPr>
        <w:spacing w:after="0" w:line="176" w:lineRule="exact"/>
        <w:rPr>
          <w:rFonts w:ascii="Times New Roman" w:cs="Times New Roman" w:eastAsia="Times New Roman" w:hAnsi="Times New Roman"/>
          <w:sz w:val="19"/>
          <w:szCs w:val="19"/>
          <w:color w:val="auto"/>
        </w:rPr>
      </w:pPr>
    </w:p>
    <w:p>
      <w:pPr>
        <w:ind w:right="40" w:firstLine="451"/>
        <w:spacing w:after="0" w:line="270" w:lineRule="auto"/>
        <w:tabs>
          <w:tab w:leader="none" w:pos="81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Due to adverse changes in national credit policies, market environment and other factors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claims,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take effective countermeasures, which may affect the security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claims;</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812"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repay any principal, interest (including default interest and compound interest), fees or other amounts hereunder in accordance with the provisions hereof;</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826"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term of the acquisition loan hereunder,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incurs in any form new implicit debts that shall be repaid by local governments;</w:t>
      </w:r>
    </w:p>
    <w:p>
      <w:pPr>
        <w:spacing w:after="0" w:line="156"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811"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creditor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declares any Indebtedness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due in advance; and/or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ceases to repay any of its due debts; or the Borrower admits its inability to repay its due debts; and/or the Borrower commences negotiations with one or more of its creditors on debt restructuring; or the assets of the Borrower are less than its liabilities;</w:t>
      </w:r>
    </w:p>
    <w:p>
      <w:pPr>
        <w:spacing w:after="0" w:line="173" w:lineRule="exact"/>
        <w:rPr>
          <w:rFonts w:ascii="Times New Roman" w:cs="Times New Roman" w:eastAsia="Times New Roman" w:hAnsi="Times New Roman"/>
          <w:sz w:val="19"/>
          <w:szCs w:val="19"/>
          <w:color w:val="auto"/>
        </w:rPr>
      </w:pPr>
    </w:p>
    <w:p>
      <w:pPr>
        <w:ind w:right="40" w:firstLine="451"/>
        <w:spacing w:after="0" w:line="270" w:lineRule="auto"/>
        <w:tabs>
          <w:tab w:leader="none" w:pos="832"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asset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is sealed up, frozen, detained, enforced or subject to other similar legal proceedings, thereby having a Material Adverse Effect on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repayment of the debts hereunder;</w:t>
      </w:r>
    </w:p>
    <w:p>
      <w:pPr>
        <w:spacing w:after="0" w:line="160" w:lineRule="exact"/>
        <w:rPr>
          <w:rFonts w:ascii="Times New Roman" w:cs="Times New Roman" w:eastAsia="Times New Roman" w:hAnsi="Times New Roman"/>
          <w:sz w:val="19"/>
          <w:szCs w:val="19"/>
          <w:color w:val="auto"/>
        </w:rPr>
      </w:pPr>
    </w:p>
    <w:p>
      <w:pPr>
        <w:ind w:right="60" w:firstLine="451"/>
        <w:spacing w:after="0" w:line="265" w:lineRule="auto"/>
        <w:tabs>
          <w:tab w:leader="none" w:pos="807"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other event in violation of the provisions of laws, regulations, rules, etc. or this Contract, or the occurrence of any event or circumstance having a </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16.2 Remedies of the Lenders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 Notices</w:t>
      </w:r>
    </w:p>
    <w:p>
      <w:pPr>
        <w:spacing w:after="0" w:line="214" w:lineRule="exact"/>
        <w:rPr>
          <w:sz w:val="20"/>
          <w:szCs w:val="20"/>
          <w:color w:val="auto"/>
        </w:rPr>
      </w:pPr>
    </w:p>
    <w:p>
      <w:pPr>
        <w:ind w:right="40" w:firstLine="451"/>
        <w:spacing w:after="0" w:line="270" w:lineRule="auto"/>
        <w:tabs>
          <w:tab w:leader="none" w:pos="72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becomes aware of the occurrence of 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hereunder, or any fact or circumstance that it reasonably believes may constitute 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it shall promptly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receipt of the above notice,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or each of the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right="40" w:firstLine="451"/>
        <w:spacing w:after="0" w:line="270" w:lineRule="auto"/>
        <w:tabs>
          <w:tab w:leader="none" w:pos="711"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is not notified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inform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upon receipt of the notice for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confirmation, explanation or remedial measures.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 Remedial Rights</w:t>
      </w:r>
    </w:p>
    <w:p>
      <w:pPr>
        <w:spacing w:after="0" w:line="2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During the continuance of any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may exercise any one or more of the following rights:</w:t>
      </w:r>
    </w:p>
    <w:p>
      <w:pPr>
        <w:spacing w:after="0" w:line="156" w:lineRule="exact"/>
        <w:rPr>
          <w:sz w:val="20"/>
          <w:szCs w:val="20"/>
          <w:color w:val="auto"/>
        </w:rPr>
      </w:pPr>
    </w:p>
    <w:p>
      <w:pPr>
        <w:ind w:right="40" w:firstLine="451"/>
        <w:spacing w:after="0" w:line="270" w:lineRule="auto"/>
        <w:tabs>
          <w:tab w:leader="none" w:pos="711"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waive the relevant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consent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remedy of the relevant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require the Borrower to cure the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within a specified time limit;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82" w:lineRule="exact"/>
        <w:rPr>
          <w:sz w:val="20"/>
          <w:szCs w:val="20"/>
          <w:color w:val="auto"/>
        </w:rPr>
      </w:pPr>
    </w:p>
    <w:p>
      <w:pPr>
        <w:ind w:right="40" w:firstLine="451"/>
        <w:spacing w:after="0" w:line="270" w:lineRule="auto"/>
        <w:tabs>
          <w:tab w:leader="none" w:pos="733"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declare the suspension of drawing any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upon such declaration, the drawing of such portion of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shall be suspended immediately;</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2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declare the cancellation of all or any part of the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upon such declaration, 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be cancelled pro rata accordingly, and the cancelled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may not be reinstated;</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45" w:lineRule="auto"/>
        <w:tabs>
          <w:tab w:leader="none" w:pos="715"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provide a reasonable explanation satisfactory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(acting on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and fails to take any effective remedial measures, to declare all or any part of the Outstanding Loan Balance together with all accrued interest, fees and other amounts hereunder immediately due and payable; upon such declaration, such amounts shall become immediately due and payable without any further notice from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provided that the Agent may grant the Borrower a 45-day period to raise repayment funds at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require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provide additional collateral immediately;</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enforce the </w:t>
      </w:r>
      <w:r>
        <w:rPr>
          <w:rFonts w:ascii="Times New Roman" w:cs="Times New Roman" w:eastAsia="Times New Roman" w:hAnsi="Times New Roman"/>
          <w:sz w:val="19"/>
          <w:szCs w:val="19"/>
          <w:b w:val="1"/>
          <w:bCs w:val="1"/>
          <w:u w:val="single" w:color="auto"/>
          <w:color w:val="auto"/>
        </w:rPr>
        <w:t>Security Documents</w:t>
      </w:r>
      <w:r>
        <w:rPr>
          <w:rFonts w:ascii="Times New Roman" w:cs="Times New Roman" w:eastAsia="Times New Roman" w:hAnsi="Times New Roman"/>
          <w:sz w:val="19"/>
          <w:szCs w:val="19"/>
          <w:color w:val="auto"/>
        </w:rPr>
        <w:t>; and/or</w:t>
      </w:r>
    </w:p>
    <w:p>
      <w:pPr>
        <w:spacing w:after="0" w:line="217"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exercise any other rights conferred by laws, regulations and this Contract.</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3. Actions of the Agent</w:t>
      </w:r>
    </w:p>
    <w:p>
      <w:pPr>
        <w:spacing w:after="0" w:line="214" w:lineRule="exact"/>
        <w:rPr>
          <w:sz w:val="20"/>
          <w:szCs w:val="20"/>
          <w:color w:val="auto"/>
        </w:rPr>
      </w:pPr>
    </w:p>
    <w:p>
      <w:pPr>
        <w:jc w:val="both"/>
        <w:ind w:right="40" w:firstLine="451"/>
        <w:spacing w:after="0" w:line="248" w:lineRule="auto"/>
        <w:tabs>
          <w:tab w:leader="none" w:pos="715"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various remedial rights set forth in Paragraph 2 (</w:t>
      </w:r>
      <w:r>
        <w:rPr>
          <w:rFonts w:ascii="Times New Roman" w:cs="Times New Roman" w:eastAsia="Times New Roman" w:hAnsi="Times New Roman"/>
          <w:sz w:val="19"/>
          <w:szCs w:val="19"/>
          <w:i w:val="1"/>
          <w:iCs w:val="1"/>
          <w:color w:val="auto"/>
        </w:rPr>
        <w:t>Remedial Rights</w:t>
      </w:r>
      <w:r>
        <w:rPr>
          <w:rFonts w:ascii="Times New Roman" w:cs="Times New Roman" w:eastAsia="Times New Roman" w:hAnsi="Times New Roman"/>
          <w:sz w:val="19"/>
          <w:szCs w:val="19"/>
          <w:color w:val="auto"/>
        </w:rPr>
        <w:t>), Article 16.2 (</w:t>
      </w:r>
      <w:r>
        <w:rPr>
          <w:rFonts w:ascii="Times New Roman" w:cs="Times New Roman" w:eastAsia="Times New Roman" w:hAnsi="Times New Roman"/>
          <w:sz w:val="19"/>
          <w:szCs w:val="19"/>
          <w:i w:val="1"/>
          <w:iCs w:val="1"/>
          <w:color w:val="auto"/>
        </w:rPr>
        <w:t>Remedies of the Lenders</w:t>
      </w:r>
      <w:r>
        <w:rPr>
          <w:rFonts w:ascii="Times New Roman" w:cs="Times New Roman" w:eastAsia="Times New Roman" w:hAnsi="Times New Roman"/>
          <w:sz w:val="19"/>
          <w:szCs w:val="19"/>
          <w:color w:val="auto"/>
        </w:rPr>
        <w:t xml:space="preserve">), or the right to initiate and conduct any dispute resolution legal proceedings against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be exercised through the arrangement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provided that if the Agent fails to take such actions in accordance with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the relevant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may take such actions on their own.</w:t>
      </w:r>
    </w:p>
    <w:p>
      <w:pPr>
        <w:spacing w:after="0" w:line="176" w:lineRule="exact"/>
        <w:rPr>
          <w:rFonts w:ascii="Times New Roman" w:cs="Times New Roman" w:eastAsia="Times New Roman" w:hAnsi="Times New Roman"/>
          <w:sz w:val="19"/>
          <w:szCs w:val="19"/>
          <w:color w:val="auto"/>
        </w:rPr>
      </w:pPr>
    </w:p>
    <w:p>
      <w:pPr>
        <w:ind w:right="40" w:firstLine="451"/>
        <w:spacing w:after="0" w:line="270" w:lineRule="auto"/>
        <w:tabs>
          <w:tab w:leader="none" w:pos="715"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continuance of 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have the right to take all actions it deems necessary or reasonable at any time to protect the rights and interests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hereunder.</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 xml:space="preserve">4. Undertakings of Each </w:t>
      </w:r>
      <w:r>
        <w:rPr>
          <w:rFonts w:ascii="Times New Roman" w:cs="Times New Roman" w:eastAsia="Times New Roman" w:hAnsi="Times New Roman"/>
          <w:sz w:val="19"/>
          <w:szCs w:val="19"/>
          <w:b w:val="1"/>
          <w:bCs w:val="1"/>
          <w:u w:val="single" w:color="auto"/>
          <w:color w:val="auto"/>
        </w:rPr>
        <w:t>Lender</w:t>
      </w:r>
    </w:p>
    <w:p>
      <w:pPr>
        <w:spacing w:after="0" w:line="214" w:lineRule="exact"/>
        <w:rPr>
          <w:sz w:val="20"/>
          <w:szCs w:val="20"/>
          <w:color w:val="auto"/>
        </w:rPr>
      </w:pPr>
    </w:p>
    <w:p>
      <w:pPr>
        <w:ind w:left="720" w:hanging="269"/>
        <w:spacing w:after="0"/>
        <w:tabs>
          <w:tab w:leader="none" w:pos="72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undertakes that it shall not exercise its rights hereunder in a manner inconsistent with the provisions of this Contract.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w:t>
      </w:r>
      <w:r>
        <w:rPr>
          <w:rFonts w:ascii="Times New Roman" w:cs="Times New Roman" w:eastAsia="Times New Roman" w:hAnsi="Times New Roman"/>
          <w:sz w:val="19"/>
          <w:szCs w:val="19"/>
          <w:color w:val="auto"/>
        </w:rPr>
        <w:t xml:space="preserve">r undertakes to the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that, unless otherwise expressly provided in this Contract:</w:t>
      </w:r>
    </w:p>
    <w:p>
      <w:pPr>
        <w:spacing w:after="0" w:line="218" w:lineRule="exact"/>
        <w:rPr>
          <w:sz w:val="20"/>
          <w:szCs w:val="20"/>
          <w:color w:val="auto"/>
        </w:rPr>
      </w:pPr>
    </w:p>
    <w:p>
      <w:pPr>
        <w:ind w:right="40" w:firstLine="451"/>
        <w:spacing w:after="0" w:line="265" w:lineRule="auto"/>
        <w:tabs>
          <w:tab w:leader="none" w:pos="66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will not separately demand or accept any form of debt repayment from any person for the purpose of repaying any debts owed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w:t>
      </w:r>
    </w:p>
    <w:p>
      <w:pPr>
        <w:spacing w:after="0" w:line="161" w:lineRule="exact"/>
        <w:rPr>
          <w:rFonts w:ascii="Times New Roman" w:cs="Times New Roman" w:eastAsia="Times New Roman" w:hAnsi="Times New Roman"/>
          <w:sz w:val="19"/>
          <w:szCs w:val="19"/>
          <w:color w:val="auto"/>
        </w:rPr>
      </w:pPr>
    </w:p>
    <w:p>
      <w:pPr>
        <w:ind w:right="60" w:firstLine="451"/>
        <w:spacing w:after="0" w:line="270" w:lineRule="auto"/>
        <w:tabs>
          <w:tab w:leader="none" w:pos="663"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will not separately demand or accept any security interest or financial support in respect of any debts owed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5. Deduction and Set-off</w:t>
      </w:r>
    </w:p>
    <w:p>
      <w:pPr>
        <w:spacing w:after="0" w:line="214" w:lineRule="exact"/>
        <w:rPr>
          <w:sz w:val="20"/>
          <w:szCs w:val="20"/>
          <w:color w:val="auto"/>
        </w:rPr>
      </w:pPr>
    </w:p>
    <w:p>
      <w:pPr>
        <w:jc w:val="both"/>
        <w:ind w:right="60" w:firstLine="443"/>
        <w:spacing w:after="0" w:line="253" w:lineRule="auto"/>
        <w:rPr>
          <w:sz w:val="20"/>
          <w:szCs w:val="20"/>
          <w:color w:val="auto"/>
        </w:rPr>
      </w:pPr>
      <w:r>
        <w:rPr>
          <w:rFonts w:ascii="Times New Roman" w:cs="Times New Roman" w:eastAsia="Times New Roman" w:hAnsi="Times New Roman"/>
          <w:sz w:val="19"/>
          <w:szCs w:val="19"/>
          <w:color w:val="auto"/>
        </w:rPr>
        <w:t xml:space="preserve">Upon the occurrence of any Event of Default,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have the right to deduct and set off the balance in any account opened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any of its branches) and transfer such amount to the Agent for redistribution in accordance with Article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8.10 (</w:t>
      </w:r>
      <w:r>
        <w:rPr>
          <w:rFonts w:ascii="Times New Roman" w:cs="Times New Roman" w:eastAsia="Times New Roman" w:hAnsi="Times New Roman"/>
          <w:sz w:val="19"/>
          <w:szCs w:val="19"/>
          <w:i w:val="1"/>
          <w:iCs w:val="1"/>
          <w:color w:val="auto"/>
        </w:rPr>
        <w:t>Redistribution</w:t>
      </w:r>
      <w:r>
        <w:rPr>
          <w:rFonts w:ascii="Times New Roman" w:cs="Times New Roman" w:eastAsia="Times New Roman" w:hAnsi="Times New Roman"/>
          <w:sz w:val="19"/>
          <w:szCs w:val="19"/>
          <w:color w:val="auto"/>
        </w:rPr>
        <w:t>) hereof;</w:t>
      </w:r>
    </w:p>
    <w:p>
      <w:pPr>
        <w:spacing w:after="0" w:line="177" w:lineRule="exact"/>
        <w:rPr>
          <w:sz w:val="20"/>
          <w:szCs w:val="20"/>
          <w:color w:val="auto"/>
        </w:rPr>
      </w:pPr>
    </w:p>
    <w:p>
      <w:pPr>
        <w:jc w:val="both"/>
        <w:ind w:right="60" w:firstLine="443"/>
        <w:spacing w:after="0" w:line="251" w:lineRule="auto"/>
        <w:rPr>
          <w:sz w:val="20"/>
          <w:szCs w:val="20"/>
          <w:color w:val="auto"/>
        </w:rPr>
      </w:pPr>
      <w:r>
        <w:rPr>
          <w:rFonts w:ascii="Times New Roman" w:cs="Times New Roman" w:eastAsia="Times New Roman" w:hAnsi="Times New Roman"/>
          <w:sz w:val="19"/>
          <w:szCs w:val="19"/>
          <w:color w:val="auto"/>
        </w:rPr>
        <w:t xml:space="preserve">If the currency of the amount so deducted and set off is inconsistent with the currency agreed herein, conversion shall be made at the exchange rate applicable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on the date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receives such deducted and set-off amount. The interest and other expenses incurred during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9"/>
          <w:szCs w:val="19"/>
          <w:color w:val="auto"/>
        </w:rPr>
        <w:t xml:space="preserve">period from such deduction and set-off date to the settlement date (being the date on which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converts the deducted and set-off amount into the currency agreed herein and actually settles the debts hereunder in accordance with the foreign exchange administration policies of the state), and any difference arising from exchange rate fluctuations during such period, shall be borne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right="40" w:firstLine="443"/>
        <w:spacing w:after="0" w:line="245" w:lineRule="auto"/>
        <w:rPr>
          <w:sz w:val="20"/>
          <w:szCs w:val="20"/>
          <w:color w:val="auto"/>
        </w:rPr>
      </w:pPr>
      <w:r>
        <w:rPr>
          <w:rFonts w:ascii="Times New Roman" w:cs="Times New Roman" w:eastAsia="Times New Roman" w:hAnsi="Times New Roman"/>
          <w:sz w:val="19"/>
          <w:szCs w:val="19"/>
          <w:color w:val="auto"/>
        </w:rPr>
        <w:t xml:space="preserve">When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deducts and sets off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’s unexpired time deposits, if full early withdrawal is required, interest shall be calculated and paid at the current deposit rate published by the Lender on the withdrawal date. If partial early withdrawal is required, the early withdrawn portion shall bear interest at the current deposit rate published by the Lender on the withdrawal date, and the remaining portion shall bear interest at the time deposit rate of such time deposit on the account opening date. Any interest loss arising from such deduction and set-off shall be borne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If the deduction and set-off amount is insufficient to repay all debts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shall repay the debts pro rata according to each actual drawing made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16.3 Indemnity for Losses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breaches any of its obligations hereunder (including but not limited to the occurrence of any of the following circumstances), causing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to suffer or incur any actual economic losses other than default interest and thus claiming compensation from the Borrower,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indemnify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within five (5) Business Days upon receipt of such claim:</w:t>
      </w:r>
    </w:p>
    <w:p>
      <w:pPr>
        <w:spacing w:after="0" w:line="173" w:lineRule="exact"/>
        <w:rPr>
          <w:sz w:val="20"/>
          <w:szCs w:val="20"/>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fails to repay any amount on its due date;</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repays any amount on a date other than its due date without the consent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Potential Event of Default</w:t>
      </w:r>
      <w:r>
        <w:rPr>
          <w:rFonts w:ascii="Times New Roman" w:cs="Times New Roman" w:eastAsia="Times New Roman" w:hAnsi="Times New Roman"/>
          <w:sz w:val="19"/>
          <w:szCs w:val="19"/>
          <w:color w:val="auto"/>
        </w:rPr>
        <w:t xml:space="preserve"> by the Borrower;</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fail to be fully drawn on time due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reasons;</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cancels 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of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 violation of the provisions of this Contract;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information and materials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are false;</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occurrence of any other circumstance causing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to suffer or incur any actual economic losses.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intends to make a claim in accordance with the provisions of this Article, it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and provide detailed calculation basis and evidential materials for such claim. Upon receipt of such claim,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provide relevant materials for the Borrower’s confirmation.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XVII. Relationship among Syndicate Members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17.1 Appointment of the Agent</w:t>
      </w:r>
    </w:p>
    <w:p>
      <w:pPr>
        <w:spacing w:after="0" w:line="214" w:lineRule="exact"/>
        <w:rPr>
          <w:sz w:val="20"/>
          <w:szCs w:val="20"/>
          <w:color w:val="auto"/>
        </w:rPr>
      </w:pPr>
    </w:p>
    <w:p>
      <w:pPr>
        <w:ind w:right="60" w:firstLine="451"/>
        <w:spacing w:after="0" w:line="270" w:lineRule="auto"/>
        <w:tabs>
          <w:tab w:leader="none" w:pos="632"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other than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Syndicate Members</w:t>
      </w:r>
      <w:r>
        <w:rPr>
          <w:rFonts w:ascii="Times New Roman" w:cs="Times New Roman" w:eastAsia="Times New Roman" w:hAnsi="Times New Roman"/>
          <w:sz w:val="19"/>
          <w:szCs w:val="19"/>
          <w:color w:val="auto"/>
        </w:rPr>
        <w:t xml:space="preserve">”) hereby appoints the Agent as its agent hereunder, and authorizes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exercise the rights expressly conferred upon it by the terms hereof and all other rights reasonably incidental thereto.</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82"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other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hereby authorizes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directly enter into Security Documents, and any supplements or amendments thereto, with the relevant Security Providers in accordance with the principles and relevant facts set forth in this Contract. If security registration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 xml:space="preserve">is required,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carry out such security registration in accordance with the requirements of the local registration authority, and shall act as the sole, nominal obligee in such registration.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17.2 Agency Relationship</w:t>
      </w:r>
    </w:p>
    <w:p>
      <w:pPr>
        <w:spacing w:after="0" w:line="214" w:lineRule="exact"/>
        <w:rPr>
          <w:sz w:val="20"/>
          <w:szCs w:val="20"/>
          <w:color w:val="auto"/>
        </w:rPr>
      </w:pPr>
    </w:p>
    <w:p>
      <w:pPr>
        <w:jc w:val="both"/>
        <w:ind w:right="60" w:firstLine="451"/>
        <w:spacing w:after="0" w:line="248" w:lineRule="auto"/>
        <w:tabs>
          <w:tab w:leader="none" w:pos="635"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relationship between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and the other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is solely that of principal and agent. As the agent of the Syndicate, the principal function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is to serve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and protect the interests of the Syndicate hereunder. It shall perform the duties agreed herein in a diligent, faithful, responsible and professional manner to ensure the effective implementation of the agreements hereunder and the instructions and authorizations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which is of an administrative nature.</w:t>
      </w:r>
    </w:p>
    <w:p>
      <w:pPr>
        <w:spacing w:after="0" w:line="17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act as agent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 any respect.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17.3 Responsibilities of the Agent</w:t>
      </w:r>
    </w:p>
    <w:p>
      <w:pPr>
        <w:spacing w:after="0" w:line="214" w:lineRule="exact"/>
        <w:rPr>
          <w:sz w:val="20"/>
          <w:szCs w:val="20"/>
          <w:color w:val="auto"/>
        </w:rPr>
      </w:pPr>
    </w:p>
    <w:p>
      <w:pPr>
        <w:jc w:val="both"/>
        <w:ind w:right="60" w:firstLine="451"/>
        <w:spacing w:after="0" w:line="248" w:lineRule="auto"/>
        <w:tabs>
          <w:tab w:leader="none" w:pos="64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receives the original or a copy of any document sent by any Party hereto for transmission to another Party, the Agent shall transmit such document to such designated other Party within three (3)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receipt. Unless otherwise agreed herein,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be responsible for examining the authenticity, adequacy, accuracy or completeness of the form or content of any document transmitted by it.</w:t>
      </w:r>
    </w:p>
    <w:p>
      <w:pPr>
        <w:spacing w:after="0" w:line="17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establish and maintain ledgers in connection with this Contract and shall provide such ledgers to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upon their</w:t>
      </w:r>
    </w:p>
    <w:p>
      <w:pPr>
        <w:spacing w:after="0" w:line="2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w:t>
      </w:r>
    </w:p>
    <w:p>
      <w:pPr>
        <w:spacing w:after="0" w:line="189" w:lineRule="exact"/>
        <w:rPr>
          <w:rFonts w:ascii="Times New Roman" w:cs="Times New Roman" w:eastAsia="Times New Roman" w:hAnsi="Times New Roman"/>
          <w:sz w:val="19"/>
          <w:szCs w:val="19"/>
          <w:color w:val="auto"/>
        </w:rPr>
      </w:pPr>
    </w:p>
    <w:p>
      <w:pPr>
        <w:ind w:right="60" w:firstLine="451"/>
        <w:spacing w:after="0" w:line="270" w:lineRule="auto"/>
        <w:tabs>
          <w:tab w:leader="none" w:pos="632"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disburse and pay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 xml:space="preserve"> in accordance with Article 8.1 (</w:t>
      </w:r>
      <w:r>
        <w:rPr>
          <w:rFonts w:ascii="Times New Roman" w:cs="Times New Roman" w:eastAsia="Times New Roman" w:hAnsi="Times New Roman"/>
          <w:sz w:val="19"/>
          <w:szCs w:val="19"/>
          <w:i w:val="1"/>
          <w:iCs w:val="1"/>
          <w:color w:val="auto"/>
        </w:rPr>
        <w:t>Disbursement of Loan Funds</w:t>
      </w:r>
      <w:r>
        <w:rPr>
          <w:rFonts w:ascii="Times New Roman" w:cs="Times New Roman" w:eastAsia="Times New Roman" w:hAnsi="Times New Roman"/>
          <w:sz w:val="19"/>
          <w:szCs w:val="19"/>
          <w:color w:val="auto"/>
        </w:rPr>
        <w:t>) and Article 8.2 (</w:t>
      </w:r>
      <w:r>
        <w:rPr>
          <w:rFonts w:ascii="Times New Roman" w:cs="Times New Roman" w:eastAsia="Times New Roman" w:hAnsi="Times New Roman"/>
          <w:sz w:val="19"/>
          <w:szCs w:val="19"/>
          <w:i w:val="1"/>
          <w:iCs w:val="1"/>
          <w:color w:val="auto"/>
        </w:rPr>
        <w:t>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of Loan Funds</w:t>
      </w:r>
      <w:r>
        <w:rPr>
          <w:rFonts w:ascii="Times New Roman" w:cs="Times New Roman" w:eastAsia="Times New Roman" w:hAnsi="Times New Roman"/>
          <w:sz w:val="19"/>
          <w:szCs w:val="19"/>
          <w:color w:val="auto"/>
        </w:rPr>
        <w:t>) hereof, and shall manage and control the same.</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659"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receives a notice from any Party hereto concerning the occurrence of an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the Agent shall notify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within three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receipt of such notice.</w:t>
      </w:r>
    </w:p>
    <w:p>
      <w:pPr>
        <w:spacing w:after="0" w:line="156" w:lineRule="exact"/>
        <w:rPr>
          <w:rFonts w:ascii="Times New Roman" w:cs="Times New Roman" w:eastAsia="Times New Roman" w:hAnsi="Times New Roman"/>
          <w:sz w:val="19"/>
          <w:szCs w:val="19"/>
          <w:color w:val="auto"/>
        </w:rPr>
      </w:pPr>
    </w:p>
    <w:p>
      <w:pPr>
        <w:jc w:val="both"/>
        <w:ind w:right="60" w:firstLine="451"/>
        <w:spacing w:after="0" w:line="248" w:lineRule="auto"/>
        <w:tabs>
          <w:tab w:leader="none" w:pos="646" w:val="left"/>
        </w:tabs>
        <w:numPr>
          <w:ilvl w:val="0"/>
          <w:numId w:val="23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u w:val="single" w:color="auto"/>
          <w:color w:val="auto"/>
        </w:rPr>
        <w:t xml:space="preserve"> shall promptly allocate interest and principal duly paid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to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u w:val="single" w:color="auto"/>
          <w:color w:val="auto"/>
        </w:rPr>
        <w:t xml:space="preserve"> on a pro rata basis in accordance with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u w:val="single" w:color="auto"/>
          <w:color w:val="auto"/>
        </w:rPr>
        <w:t xml:space="preserve">’s share of the Outstanding Loan Balance. If the Borrower fails to repay the loan on time,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u w:val="single" w:color="auto"/>
          <w:color w:val="auto"/>
        </w:rPr>
        <w:t xml:space="preserve"> shall distribute the portion repaid in accordance with the provisions hereof. In respect of the overdue portion unpaid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the Agent shall levy default interest and compound interest on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u w:val="single" w:color="auto"/>
          <w:color w:val="auto"/>
        </w:rPr>
        <w:t xml:space="preserve"> in accordance with the relevant provisions of the PBOC and the terms hereof.</w:t>
      </w:r>
    </w:p>
    <w:p>
      <w:pPr>
        <w:spacing w:after="0" w:line="176" w:lineRule="exact"/>
        <w:rPr>
          <w:rFonts w:ascii="Times New Roman" w:cs="Times New Roman" w:eastAsia="Times New Roman" w:hAnsi="Times New Roman"/>
          <w:sz w:val="19"/>
          <w:szCs w:val="19"/>
          <w:u w:val="single" w:color="auto"/>
          <w:color w:val="auto"/>
        </w:rPr>
      </w:pPr>
    </w:p>
    <w:p>
      <w:pPr>
        <w:jc w:val="both"/>
        <w:ind w:right="60" w:firstLine="451"/>
        <w:spacing w:after="0" w:line="253" w:lineRule="auto"/>
        <w:tabs>
          <w:tab w:leader="none" w:pos="639"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shall be responsible for the administration of </w:t>
      </w:r>
      <w:r>
        <w:rPr>
          <w:rFonts w:ascii="Times New Roman" w:cs="Times New Roman" w:eastAsia="Times New Roman" w:hAnsi="Times New Roman"/>
          <w:sz w:val="19"/>
          <w:szCs w:val="19"/>
          <w:b w:val="1"/>
          <w:bCs w:val="1"/>
          <w:color w:val="auto"/>
        </w:rPr>
        <w:t>Loan Fund</w:t>
      </w:r>
      <w:r>
        <w:rPr>
          <w:rFonts w:ascii="Times New Roman" w:cs="Times New Roman" w:eastAsia="Times New Roman" w:hAnsi="Times New Roman"/>
          <w:sz w:val="19"/>
          <w:szCs w:val="19"/>
          <w:color w:val="auto"/>
        </w:rPr>
        <w:t xml:space="preserve"> payments, post-loan management and supervision and inspection of the use of Loan Funds in accordance with this Contract and the Fund Supervision Agreement (if any), and shall regularly report the results of such supervision and inspection to each </w:t>
      </w:r>
      <w:r>
        <w:rPr>
          <w:rFonts w:ascii="Times New Roman" w:cs="Times New Roman" w:eastAsia="Times New Roman" w:hAnsi="Times New Roman"/>
          <w:sz w:val="19"/>
          <w:szCs w:val="19"/>
          <w:b w:val="1"/>
          <w:bCs w:val="1"/>
          <w:color w:val="auto"/>
        </w:rPr>
        <w:t>Syndicate Member</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632"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organize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to initiate and/or participate in any litigation, arbitration or legal dispute proceedings in connection with this Contract in accordance with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provided that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have indemnified or advanced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all costs, fees, expenses (including but not limited to legal fees) and liabilities that the Agent has incurred or may incur in complying with such decision in accordance with the provisions hereof.</w:t>
      </w:r>
    </w:p>
    <w:p>
      <w:pPr>
        <w:spacing w:after="0" w:line="176" w:lineRule="exact"/>
        <w:rPr>
          <w:rFonts w:ascii="Times New Roman" w:cs="Times New Roman" w:eastAsia="Times New Roman" w:hAnsi="Times New Roman"/>
          <w:sz w:val="19"/>
          <w:szCs w:val="19"/>
          <w:color w:val="auto"/>
        </w:rPr>
      </w:pPr>
    </w:p>
    <w:p>
      <w:pPr>
        <w:ind w:right="60" w:firstLine="451"/>
        <w:spacing w:after="0" w:line="270" w:lineRule="auto"/>
        <w:tabs>
          <w:tab w:leader="none" w:pos="646"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be responsible for convening meetings of the Syndicate, coordinating the relationship among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responding to irregular inquiries and verifications by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and handling any other matters entrusted by the Syndicate meeting.</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be liable to any other Party for any Party's breach of the terms hereof.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82" w:lineRule="exact"/>
        <w:rPr>
          <w:sz w:val="20"/>
          <w:szCs w:val="20"/>
          <w:color w:val="auto"/>
        </w:rPr>
      </w:pPr>
    </w:p>
    <w:p>
      <w:pPr>
        <w:jc w:val="both"/>
        <w:ind w:right="60" w:firstLine="451"/>
        <w:spacing w:after="0" w:line="253" w:lineRule="auto"/>
        <w:tabs>
          <w:tab w:leader="none" w:pos="736"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violates or would cause a violation of applicable laws and regulations, or acting in accordance with such decision violates or would cause a violation of applicable laws and regulations,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refrain from acting in accordance with such decision after prior notice to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left="740" w:hanging="289"/>
        <w:spacing w:after="0"/>
        <w:tabs>
          <w:tab w:leader="none" w:pos="740"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shall perform its duties hereunder with due diligence.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17.4 Rights of the Agent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1.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assume, unless it has actual knowledge to the contrary:</w:t>
      </w:r>
    </w:p>
    <w:p>
      <w:pPr>
        <w:spacing w:after="0" w:line="218" w:lineRule="exact"/>
        <w:rPr>
          <w:sz w:val="20"/>
          <w:szCs w:val="20"/>
          <w:color w:val="auto"/>
        </w:rPr>
      </w:pPr>
    </w:p>
    <w:p>
      <w:pPr>
        <w:ind w:left="720" w:hanging="269"/>
        <w:spacing w:after="0"/>
        <w:tabs>
          <w:tab w:leader="none" w:pos="7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any factual statement made by any other Party hereto in or in connection with this Contract is true, complete and accurate;</w:t>
      </w:r>
    </w:p>
    <w:p>
      <w:pPr>
        <w:spacing w:after="0" w:line="209"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no </w:t>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xml:space="preserve"> has occurred or is continuing;</w:t>
      </w:r>
    </w:p>
    <w:p>
      <w:pPr>
        <w:spacing w:after="0" w:line="217"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 other Party hereto is in breach of its obligations hereunder; and/or</w:t>
      </w:r>
    </w:p>
    <w:p>
      <w:pPr>
        <w:spacing w:after="0" w:line="209"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no other Party hereto or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has exercised any right available to it.</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However, if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has actual knowledge to the contrary, or if any other Party hereto has knowledge to the contrary and notifies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thereof,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be entitled and obliged to notify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in accordance with the relevant provisions hereof.</w:t>
      </w:r>
    </w:p>
    <w:p>
      <w:pPr>
        <w:spacing w:after="0" w:line="156" w:lineRule="exact"/>
        <w:rPr>
          <w:sz w:val="20"/>
          <w:szCs w:val="20"/>
          <w:color w:val="auto"/>
        </w:rPr>
      </w:pPr>
    </w:p>
    <w:p>
      <w:pPr>
        <w:ind w:right="60" w:firstLine="451"/>
        <w:spacing w:after="0" w:line="270" w:lineRule="auto"/>
        <w:tabs>
          <w:tab w:leader="none" w:pos="632"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w:t>
      </w:r>
      <w:r>
        <w:rPr>
          <w:rFonts w:ascii="Times New Roman" w:cs="Times New Roman" w:eastAsia="Times New Roman" w:hAnsi="Times New Roman"/>
          <w:sz w:val="19"/>
          <w:szCs w:val="19"/>
          <w:color w:val="auto"/>
        </w:rPr>
        <w:t>t may, when it deems necessary, retain lawyers, accountants, valuers, translators or other professional persons, pay consulting or service fees to such professional persons, and act in reliance on the opinions of such professional persons.</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act in reliance on any communication or document it reasonably believes to be genuine.</w:t>
      </w:r>
    </w:p>
    <w:p>
      <w:pPr>
        <w:spacing w:after="0" w:line="213" w:lineRule="exact"/>
        <w:rPr>
          <w:rFonts w:ascii="Times New Roman" w:cs="Times New Roman" w:eastAsia="Times New Roman" w:hAnsi="Times New Roman"/>
          <w:sz w:val="19"/>
          <w:szCs w:val="19"/>
          <w:color w:val="auto"/>
        </w:rPr>
      </w:pPr>
    </w:p>
    <w:p>
      <w:pPr>
        <w:ind w:right="60" w:firstLine="451"/>
        <w:spacing w:after="0" w:line="270" w:lineRule="auto"/>
        <w:tabs>
          <w:tab w:leader="none" w:pos="652"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disclose to any other Party hereto any information received by it under the terms hereof that it reasonably considers appropriate.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17.5 Independent Credit Assessment</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acknowledges that it has conducted, and will continue to conduct, independent investigation, review and assessment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’s financial condition, creditworthiness, business condition, legal status and other circumstances, and shall make independent judgments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decisions and assume risks accordingly, including but not limited to:</w:t>
      </w:r>
    </w:p>
    <w:p>
      <w:pPr>
        <w:spacing w:after="0" w:line="177" w:lineRule="exact"/>
        <w:rPr>
          <w:sz w:val="20"/>
          <w:szCs w:val="20"/>
          <w:color w:val="auto"/>
        </w:rPr>
      </w:pPr>
    </w:p>
    <w:p>
      <w:pPr>
        <w:ind w:right="60" w:firstLine="451"/>
        <w:spacing w:after="0" w:line="265" w:lineRule="auto"/>
        <w:tabs>
          <w:tab w:leader="none" w:pos="636"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adequacy, accuracy or completeness of any information relating to any other Party hereto or the transactions hereunder, whether or not such information is provided to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or the </w:t>
      </w:r>
      <w:r>
        <w:rPr>
          <w:rFonts w:ascii="Times New Roman" w:cs="Times New Roman" w:eastAsia="Times New Roman" w:hAnsi="Times New Roman"/>
          <w:sz w:val="19"/>
          <w:szCs w:val="19"/>
          <w:b w:val="1"/>
          <w:bCs w:val="1"/>
          <w:u w:val="single" w:color="auto"/>
          <w:color w:val="auto"/>
        </w:rPr>
        <w:t>Arranger</w:t>
      </w:r>
      <w:r>
        <w:rPr>
          <w:rFonts w:ascii="Times New Roman" w:cs="Times New Roman" w:eastAsia="Times New Roman" w:hAnsi="Times New Roman"/>
          <w:sz w:val="19"/>
          <w:szCs w:val="19"/>
          <w:color w:val="auto"/>
        </w:rPr>
        <w:t xml:space="preserve"> or the </w:t>
      </w:r>
      <w:r>
        <w:rPr>
          <w:rFonts w:ascii="Times New Roman" w:cs="Times New Roman" w:eastAsia="Times New Roman" w:hAnsi="Times New Roman"/>
          <w:sz w:val="19"/>
          <w:szCs w:val="19"/>
          <w:b w:val="1"/>
          <w:bCs w:val="1"/>
          <w:u w:val="single" w:color="auto"/>
          <w:color w:val="auto"/>
        </w:rPr>
        <w:t>Co-Arranger</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condition, creditworthiness, business condition, legal status or other circumstances of any other Party hereto;</w:t>
      </w:r>
    </w:p>
    <w:p>
      <w:pPr>
        <w:spacing w:after="0" w:line="213" w:lineRule="exact"/>
        <w:rPr>
          <w:rFonts w:ascii="Times New Roman" w:cs="Times New Roman" w:eastAsia="Times New Roman" w:hAnsi="Times New Roman"/>
          <w:sz w:val="19"/>
          <w:szCs w:val="19"/>
          <w:color w:val="auto"/>
        </w:rPr>
      </w:pPr>
    </w:p>
    <w:p>
      <w:pPr>
        <w:ind w:right="40" w:firstLine="451"/>
        <w:spacing w:after="0" w:line="265" w:lineRule="auto"/>
        <w:tabs>
          <w:tab w:leader="none" w:pos="651"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legality, validity, binding effect, adequacy or enforceability of this Contract or any document in connection herewith, or any action taken or to be taken by any other Party hereto.</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Accordingly,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be liable to any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 in respect of the foregoing matters and any risks that may exist therein.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17.6 Agent, Arranger and Co-Arranger as the Lender</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Where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or the </w:t>
      </w:r>
      <w:r>
        <w:rPr>
          <w:rFonts w:ascii="Times New Roman" w:cs="Times New Roman" w:eastAsia="Times New Roman" w:hAnsi="Times New Roman"/>
          <w:sz w:val="19"/>
          <w:szCs w:val="19"/>
          <w:b w:val="1"/>
          <w:bCs w:val="1"/>
          <w:color w:val="auto"/>
        </w:rPr>
        <w:t>Arranger</w:t>
      </w:r>
      <w:r>
        <w:rPr>
          <w:rFonts w:ascii="Times New Roman" w:cs="Times New Roman" w:eastAsia="Times New Roman" w:hAnsi="Times New Roman"/>
          <w:sz w:val="19"/>
          <w:szCs w:val="19"/>
          <w:color w:val="auto"/>
        </w:rPr>
        <w:t xml:space="preserve"> or the Co-Arranger is also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it shall be entitled to the rights and subject to the obligations of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 terms 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17.7 Syndicate Meetings</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1. Decision-Making Mechanism of Lenders</w:t>
      </w:r>
    </w:p>
    <w:p>
      <w:pPr>
        <w:spacing w:after="0" w:line="214" w:lineRule="exact"/>
        <w:rPr>
          <w:sz w:val="20"/>
          <w:szCs w:val="20"/>
          <w:color w:val="auto"/>
        </w:rPr>
      </w:pPr>
    </w:p>
    <w:p>
      <w:pPr>
        <w:jc w:val="both"/>
        <w:ind w:right="60" w:firstLine="451"/>
        <w:spacing w:after="0" w:line="253" w:lineRule="auto"/>
        <w:tabs>
          <w:tab w:leader="none" w:pos="731"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matter occurs that is expressly required hereunder to be decided by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having knowledge of such occurrence shall immediately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upon receipt of such notice or upon becoming aware of such occurrence and request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to vote on such matter.</w:t>
      </w:r>
    </w:p>
    <w:p>
      <w:pPr>
        <w:spacing w:after="0" w:line="173" w:lineRule="exact"/>
        <w:rPr>
          <w:rFonts w:ascii="Times New Roman" w:cs="Times New Roman" w:eastAsia="Times New Roman" w:hAnsi="Times New Roman"/>
          <w:sz w:val="19"/>
          <w:szCs w:val="19"/>
          <w:color w:val="auto"/>
        </w:rPr>
      </w:pPr>
    </w:p>
    <w:p>
      <w:pPr>
        <w:ind w:right="40" w:firstLine="451"/>
        <w:spacing w:after="0" w:line="270" w:lineRule="auto"/>
        <w:tabs>
          <w:tab w:leader="none" w:pos="711"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of its decision within the time limit specified in such notice after receiving the aforesaid notice from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736"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agreed herein,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act in accordance with the decision made by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pursuant to the terms hereof.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be liable to any other Party hereto for any consequences arising from its acts or omissions in accordance with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73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Decisions made by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in accordance with the terms hereof shall be binding on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fully cooperate when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implements such decisions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711"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fail to make a decision in accordance with the provisions of this Article,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propose a preliminary solution for such matter and solicit the opinions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again in accordance with the above procedures. 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fails to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of its decision within the time limit stated in the notice issued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it shall be deemed to have agreed to such solution proposed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ind w:right="40" w:firstLine="451"/>
        <w:spacing w:after="0" w:line="270" w:lineRule="auto"/>
        <w:tabs>
          <w:tab w:leader="none" w:pos="72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considers that a certain act or omission is in the best interests of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it may (but shall not be obligated to) take or omit to take such act.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2. Matters Subject to Consent of All Syndicate Members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Unless otherwise agreed herein, any amendment to the terms hereof involving any of the following matters shall require the consent of 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change to the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color w:val="auto"/>
        </w:rPr>
        <w:t xml:space="preserve"> or the currency of the </w:t>
      </w:r>
      <w:r>
        <w:rPr>
          <w:rFonts w:ascii="Times New Roman" w:cs="Times New Roman" w:eastAsia="Times New Roman" w:hAnsi="Times New Roman"/>
          <w:sz w:val="19"/>
          <w:szCs w:val="19"/>
          <w:b w:val="1"/>
          <w:bCs w:val="1"/>
          <w:u w:val="single" w:color="auto"/>
          <w:color w:val="auto"/>
        </w:rPr>
        <w:t>Loan Funds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change to the </w:t>
      </w:r>
      <w:r>
        <w:rPr>
          <w:rFonts w:ascii="Times New Roman" w:cs="Times New Roman" w:eastAsia="Times New Roman" w:hAnsi="Times New Roman"/>
          <w:sz w:val="19"/>
          <w:szCs w:val="19"/>
          <w:b w:val="1"/>
          <w:bCs w:val="1"/>
          <w:u w:val="single" w:color="auto"/>
          <w:color w:val="auto"/>
        </w:rPr>
        <w:t>Drawdown Period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Loan Term</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change to the </w:t>
      </w:r>
      <w:r>
        <w:rPr>
          <w:rFonts w:ascii="Times New Roman" w:cs="Times New Roman" w:eastAsia="Times New Roman" w:hAnsi="Times New Roman"/>
          <w:sz w:val="19"/>
          <w:szCs w:val="19"/>
          <w:b w:val="1"/>
          <w:bCs w:val="1"/>
          <w:u w:val="single" w:color="auto"/>
          <w:color w:val="auto"/>
        </w:rPr>
        <w:t>Interest Rate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u w:val="single" w:color="auto"/>
          <w:color w:val="auto"/>
        </w:rPr>
        <w:t>Default Interest Rate</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change to the currency, amount or Payment Date of any amount paid or payable to any </w:t>
      </w:r>
      <w:r>
        <w:rPr>
          <w:rFonts w:ascii="Times New Roman" w:cs="Times New Roman" w:eastAsia="Times New Roman" w:hAnsi="Times New Roman"/>
          <w:sz w:val="19"/>
          <w:szCs w:val="19"/>
          <w:b w:val="1"/>
          <w:bCs w:val="1"/>
          <w:u w:val="single" w:color="auto"/>
          <w:color w:val="auto"/>
        </w:rPr>
        <w:t>Syndicate Membe</w:t>
      </w:r>
      <w:r>
        <w:rPr>
          <w:rFonts w:ascii="Times New Roman" w:cs="Times New Roman" w:eastAsia="Times New Roman" w:hAnsi="Times New Roman"/>
          <w:sz w:val="19"/>
          <w:szCs w:val="19"/>
          <w:color w:val="auto"/>
        </w:rPr>
        <w:t>r;</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amendment to the definition of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amendment to Article XXII (</w:t>
      </w:r>
      <w:r>
        <w:rPr>
          <w:rFonts w:ascii="Times New Roman" w:cs="Times New Roman" w:eastAsia="Times New Roman" w:hAnsi="Times New Roman"/>
          <w:sz w:val="19"/>
          <w:szCs w:val="19"/>
          <w:i w:val="1"/>
          <w:iCs w:val="1"/>
          <w:color w:val="auto"/>
        </w:rPr>
        <w:t>Amendments and Waivers</w:t>
      </w:r>
      <w:r>
        <w:rPr>
          <w:rFonts w:ascii="Times New Roman" w:cs="Times New Roman" w:eastAsia="Times New Roman" w:hAnsi="Times New Roman"/>
          <w:sz w:val="19"/>
          <w:szCs w:val="19"/>
          <w:color w:val="auto"/>
        </w:rPr>
        <w:t>) hereof; and/or</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change to material matters such as the </w:t>
      </w:r>
      <w:r>
        <w:rPr>
          <w:rFonts w:ascii="Times New Roman" w:cs="Times New Roman" w:eastAsia="Times New Roman" w:hAnsi="Times New Roman"/>
          <w:sz w:val="19"/>
          <w:szCs w:val="19"/>
          <w:b w:val="1"/>
          <w:bCs w:val="1"/>
          <w:u w:val="single" w:color="auto"/>
          <w:color w:val="auto"/>
        </w:rPr>
        <w:t>Security Providers</w:t>
      </w:r>
      <w:r>
        <w:rPr>
          <w:rFonts w:ascii="Times New Roman" w:cs="Times New Roman" w:eastAsia="Times New Roman" w:hAnsi="Times New Roman"/>
          <w:sz w:val="19"/>
          <w:szCs w:val="19"/>
          <w:color w:val="auto"/>
        </w:rPr>
        <w:t>, security method, secured amount or security term.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3. Procedures and Rules of Procedure for Syndicate Meetings</w:t>
      </w:r>
    </w:p>
    <w:p>
      <w:pPr>
        <w:spacing w:after="0" w:line="214" w:lineRule="exact"/>
        <w:rPr>
          <w:sz w:val="20"/>
          <w:szCs w:val="20"/>
          <w:color w:val="auto"/>
        </w:rPr>
      </w:pPr>
    </w:p>
    <w:p>
      <w:pPr>
        <w:ind w:right="60" w:firstLine="451"/>
        <w:spacing w:after="0" w:line="270" w:lineRule="auto"/>
        <w:tabs>
          <w:tab w:leader="none" w:pos="723"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matter arises that requires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act in accordance with the decision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(as the case may be),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convene a Syndicate meeting, which shall be presided over by the Agent.</w:t>
      </w:r>
    </w:p>
    <w:p>
      <w:pPr>
        <w:spacing w:after="0" w:line="156"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to those specified in Item (1) above,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also promptly convene a Syndicate meeting if:</w:t>
      </w:r>
    </w:p>
    <w:p>
      <w:pPr>
        <w:spacing w:after="0" w:line="214" w:lineRule="exact"/>
        <w:rPr>
          <w:sz w:val="20"/>
          <w:szCs w:val="20"/>
          <w:color w:val="auto"/>
        </w:rPr>
      </w:pPr>
    </w:p>
    <w:p>
      <w:pPr>
        <w:ind w:left="700" w:hanging="249"/>
        <w:spacing w:after="0"/>
        <w:tabs>
          <w:tab w:leader="none" w:pos="70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Arranger or the Co-Arranger</w:t>
      </w:r>
      <w:r>
        <w:rPr>
          <w:rFonts w:ascii="Times New Roman" w:cs="Times New Roman" w:eastAsia="Times New Roman" w:hAnsi="Times New Roman"/>
          <w:sz w:val="19"/>
          <w:szCs w:val="19"/>
          <w:color w:val="auto"/>
        </w:rPr>
        <w:t xml:space="preserve"> considers it necessary to convene a Syndicate meeting; or</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holding more than 55%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Total Commitment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submit a written proposal to convene a Syndicate meeting.</w:t>
      </w:r>
    </w:p>
    <w:p>
      <w:pPr>
        <w:spacing w:after="0" w:line="214" w:lineRule="exact"/>
        <w:rPr>
          <w:sz w:val="20"/>
          <w:szCs w:val="20"/>
          <w:color w:val="auto"/>
        </w:rPr>
      </w:pPr>
    </w:p>
    <w:p>
      <w:pPr>
        <w:jc w:val="both"/>
        <w:ind w:right="60" w:firstLine="451"/>
        <w:spacing w:after="0" w:line="253" w:lineRule="auto"/>
        <w:tabs>
          <w:tab w:leader="none" w:pos="719"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 convening a Syndicate meeting,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give written notice to each Lender at least three (3)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in advance or within such shorter period as determined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Such meeting notice shall specify the time, venue (if applicable), manner of the meeting and the proposals to be considered at the Syndicate meeting.</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721"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Syndicate meetings may be held in person, by teleconference or by written consent.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choose the written consent method whenever possible.</w:t>
      </w:r>
    </w:p>
    <w:p>
      <w:pPr>
        <w:spacing w:after="0" w:line="156" w:lineRule="exact"/>
        <w:rPr>
          <w:rFonts w:ascii="Times New Roman" w:cs="Times New Roman" w:eastAsia="Times New Roman" w:hAnsi="Times New Roman"/>
          <w:sz w:val="19"/>
          <w:szCs w:val="19"/>
          <w:color w:val="auto"/>
        </w:rPr>
      </w:pPr>
    </w:p>
    <w:p>
      <w:pPr>
        <w:ind w:right="60" w:firstLine="451"/>
        <w:spacing w:after="0" w:line="270" w:lineRule="auto"/>
        <w:tabs>
          <w:tab w:leader="none" w:pos="731"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notify the Agent of its intention to attend the Syndicate meeting within one (1)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after receiving the meeting notice, and may submit ad hoc proposals up to one (1) </w:t>
      </w:r>
      <w:r>
        <w:rPr>
          <w:rFonts w:ascii="Times New Roman" w:cs="Times New Roman" w:eastAsia="Times New Roman" w:hAnsi="Times New Roman"/>
          <w:sz w:val="19"/>
          <w:szCs w:val="19"/>
          <w:b w:val="1"/>
          <w:bCs w:val="1"/>
          <w:u w:val="single" w:color="auto"/>
          <w:color w:val="auto"/>
        </w:rPr>
        <w:t>Business Day</w:t>
      </w:r>
      <w:r>
        <w:rPr>
          <w:rFonts w:ascii="Times New Roman" w:cs="Times New Roman" w:eastAsia="Times New Roman" w:hAnsi="Times New Roman"/>
          <w:sz w:val="19"/>
          <w:szCs w:val="19"/>
          <w:color w:val="auto"/>
        </w:rPr>
        <w:t xml:space="preserve"> prior to the meeting.</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42" w:lineRule="auto"/>
        <w:tabs>
          <w:tab w:leader="none" w:pos="745"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may appoint one or two authorized representatives and a number of ordinary representatives to attend the Syndicate meeting. All representatives may participate in discussions and express opinions at the meeting, but only authorized representatives shall have the right to vote on behalf of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at the meeting. Each authorized representative of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hold a valid and effective power of attorney specifying the scope of authorization. In addition, each power of attorney issued by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expressly state that documents signed by the authorized representative (without the need for affixation of the official seal) shall be legally binding on such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official seal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be filed with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and the authorized representative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present a power of attorney affixed with the official seal for the Agent to verify the validity thereof.</w:t>
      </w:r>
    </w:p>
    <w:p>
      <w:pPr>
        <w:spacing w:after="0" w:line="185"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711"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prepare a written document based on the valid resolution adopted at the Syndicate meeting, which shall be signed by the authorized representative of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objecting to such resolution shall also state its objection in such document before signing it. Subject to the relevant terms hereof, such resolution shall be binding on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receive one original of the valid Syndicate meeting resolution.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17.8 Indemnity by Lenders</w:t>
      </w:r>
    </w:p>
    <w:p>
      <w:pPr>
        <w:spacing w:after="0" w:line="218" w:lineRule="exact"/>
        <w:rPr>
          <w:sz w:val="20"/>
          <w:szCs w:val="20"/>
          <w:color w:val="auto"/>
        </w:rPr>
      </w:pPr>
    </w:p>
    <w:p>
      <w:pPr>
        <w:ind w:left="640" w:hanging="189"/>
        <w:spacing w:after="0"/>
        <w:tabs>
          <w:tab w:leader="none" w:pos="64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Agent shall have no obligation to advance any amount on behalf of any Party hereto.</w:t>
      </w:r>
    </w:p>
    <w:p>
      <w:pPr>
        <w:spacing w:after="0" w:line="209"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640"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demand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indemnify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according to its </w:t>
      </w:r>
      <w:r>
        <w:rPr>
          <w:rFonts w:ascii="Times New Roman" w:cs="Times New Roman" w:eastAsia="Times New Roman" w:hAnsi="Times New Roman"/>
          <w:sz w:val="19"/>
          <w:szCs w:val="19"/>
          <w:b w:val="1"/>
          <w:bCs w:val="1"/>
          <w:u w:val="single" w:color="auto"/>
          <w:color w:val="auto"/>
        </w:rPr>
        <w:t>Commitment Ratio</w:t>
      </w:r>
      <w:r>
        <w:rPr>
          <w:rFonts w:ascii="Times New Roman" w:cs="Times New Roman" w:eastAsia="Times New Roman" w:hAnsi="Times New Roman"/>
          <w:sz w:val="19"/>
          <w:szCs w:val="19"/>
          <w:color w:val="auto"/>
        </w:rPr>
        <w:t xml:space="preserve"> within five (5)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such demand for all reasonable costs, fees, losses, expenses (including legal fees) and liabilities incurred by the Agent in performing its agency activities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(excluding such costs, fees, losses, expenses and liabilities arising from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’s negligence or willful misconduct), unless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has been reimbursed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in accordance with the provisions of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ind w:right="60" w:firstLine="451"/>
        <w:spacing w:after="0" w:line="270" w:lineRule="auto"/>
        <w:tabs>
          <w:tab w:leader="none" w:pos="637"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intends to provide indemnity in accordance with this paragraph, it shall be entitled to request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provide detailed calculation basis for such indemnity amount.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provide the calculation basis accordingly within five (5)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the request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17.9 Resignation of the Agent</w:t>
      </w:r>
    </w:p>
    <w:p>
      <w:pPr>
        <w:spacing w:after="0" w:line="214" w:lineRule="exact"/>
        <w:rPr>
          <w:sz w:val="20"/>
          <w:szCs w:val="20"/>
          <w:color w:val="auto"/>
        </w:rPr>
      </w:pPr>
    </w:p>
    <w:p>
      <w:pPr>
        <w:ind w:left="640" w:hanging="189"/>
        <w:spacing w:after="0"/>
        <w:tabs>
          <w:tab w:leader="none" w:pos="640"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at any time, notify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of its intention to resign (such Agent, the “</w:t>
      </w:r>
      <w:r>
        <w:rPr>
          <w:rFonts w:ascii="Times New Roman" w:cs="Times New Roman" w:eastAsia="Times New Roman" w:hAnsi="Times New Roman"/>
          <w:sz w:val="19"/>
          <w:szCs w:val="19"/>
          <w:b w:val="1"/>
          <w:bCs w:val="1"/>
          <w:color w:val="auto"/>
        </w:rPr>
        <w:t>Resigning Agent</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632"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shall, within ten (10)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receipt of the resignation notice issued by the Agent pursuant to item (1) above, appoint another qualified, reputable and experienced financial institution as the successor to such Resigning Agent (the “</w:t>
      </w:r>
      <w:r>
        <w:rPr>
          <w:rFonts w:ascii="Times New Roman" w:cs="Times New Roman" w:eastAsia="Times New Roman" w:hAnsi="Times New Roman"/>
          <w:sz w:val="19"/>
          <w:szCs w:val="19"/>
          <w:b w:val="1"/>
          <w:bCs w:val="1"/>
          <w:u w:val="single" w:color="auto"/>
          <w:color w:val="auto"/>
        </w:rPr>
        <w:t>Successor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fail to appoint a Successor Agent within such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Resigning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itself designate a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institution which it considers qualified, reputable and experienced as the </w:t>
      </w:r>
      <w:r>
        <w:rPr>
          <w:rFonts w:ascii="Times New Roman" w:cs="Times New Roman" w:eastAsia="Times New Roman" w:hAnsi="Times New Roman"/>
          <w:sz w:val="19"/>
          <w:szCs w:val="19"/>
          <w:b w:val="1"/>
          <w:bCs w:val="1"/>
          <w:u w:val="single" w:color="auto"/>
          <w:color w:val="auto"/>
        </w:rPr>
        <w:t>Successor Agent</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ind w:right="60" w:firstLine="451"/>
        <w:spacing w:after="0" w:line="270" w:lineRule="auto"/>
        <w:tabs>
          <w:tab w:leader="none" w:pos="635"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resignation of the </w:t>
      </w:r>
      <w:r>
        <w:rPr>
          <w:rFonts w:ascii="Times New Roman" w:cs="Times New Roman" w:eastAsia="Times New Roman" w:hAnsi="Times New Roman"/>
          <w:sz w:val="19"/>
          <w:szCs w:val="19"/>
          <w:b w:val="1"/>
          <w:bCs w:val="1"/>
          <w:u w:val="single" w:color="auto"/>
          <w:color w:val="auto"/>
        </w:rPr>
        <w:t>Resigning Agent</w:t>
      </w:r>
      <w:r>
        <w:rPr>
          <w:rFonts w:ascii="Times New Roman" w:cs="Times New Roman" w:eastAsia="Times New Roman" w:hAnsi="Times New Roman"/>
          <w:sz w:val="19"/>
          <w:szCs w:val="19"/>
          <w:color w:val="auto"/>
        </w:rPr>
        <w:t xml:space="preserve"> and the appointment of the </w:t>
      </w:r>
      <w:r>
        <w:rPr>
          <w:rFonts w:ascii="Times New Roman" w:cs="Times New Roman" w:eastAsia="Times New Roman" w:hAnsi="Times New Roman"/>
          <w:sz w:val="19"/>
          <w:szCs w:val="19"/>
          <w:b w:val="1"/>
          <w:bCs w:val="1"/>
          <w:u w:val="single" w:color="auto"/>
          <w:color w:val="auto"/>
        </w:rPr>
        <w:t>Successor Agent</w:t>
      </w:r>
      <w:r>
        <w:rPr>
          <w:rFonts w:ascii="Times New Roman" w:cs="Times New Roman" w:eastAsia="Times New Roman" w:hAnsi="Times New Roman"/>
          <w:sz w:val="19"/>
          <w:szCs w:val="19"/>
          <w:color w:val="auto"/>
        </w:rPr>
        <w:t xml:space="preserve"> shall take effect on the date on which the </w:t>
      </w:r>
      <w:r>
        <w:rPr>
          <w:rFonts w:ascii="Times New Roman" w:cs="Times New Roman" w:eastAsia="Times New Roman" w:hAnsi="Times New Roman"/>
          <w:sz w:val="19"/>
          <w:szCs w:val="19"/>
          <w:b w:val="1"/>
          <w:bCs w:val="1"/>
          <w:u w:val="single" w:color="auto"/>
          <w:color w:val="auto"/>
        </w:rPr>
        <w:t>Successor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sends a formal notice of succession to the other Parties hereto.</w:t>
      </w:r>
    </w:p>
    <w:p>
      <w:pPr>
        <w:spacing w:after="0" w:line="15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56"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effectiveness of the resignation of the </w:t>
      </w:r>
      <w:r>
        <w:rPr>
          <w:rFonts w:ascii="Times New Roman" w:cs="Times New Roman" w:eastAsia="Times New Roman" w:hAnsi="Times New Roman"/>
          <w:sz w:val="19"/>
          <w:szCs w:val="19"/>
          <w:b w:val="1"/>
          <w:bCs w:val="1"/>
          <w:u w:val="single" w:color="auto"/>
          <w:color w:val="auto"/>
        </w:rPr>
        <w:t>Resigning Agent</w:t>
      </w:r>
      <w:r>
        <w:rPr>
          <w:rFonts w:ascii="Times New Roman" w:cs="Times New Roman" w:eastAsia="Times New Roman" w:hAnsi="Times New Roman"/>
          <w:sz w:val="19"/>
          <w:szCs w:val="19"/>
          <w:color w:val="auto"/>
        </w:rPr>
        <w:t xml:space="preserve"> and the appointment of the </w:t>
      </w:r>
      <w:r>
        <w:rPr>
          <w:rFonts w:ascii="Times New Roman" w:cs="Times New Roman" w:eastAsia="Times New Roman" w:hAnsi="Times New Roman"/>
          <w:sz w:val="19"/>
          <w:szCs w:val="19"/>
          <w:b w:val="1"/>
          <w:bCs w:val="1"/>
          <w:u w:val="single" w:color="auto"/>
          <w:color w:val="auto"/>
        </w:rPr>
        <w:t>Successor Agent</w:t>
      </w:r>
      <w:r>
        <w:rPr>
          <w:rFonts w:ascii="Times New Roman" w:cs="Times New Roman" w:eastAsia="Times New Roman" w:hAnsi="Times New Roman"/>
          <w:sz w:val="19"/>
          <w:szCs w:val="19"/>
          <w:color w:val="auto"/>
        </w:rPr>
        <w:t xml:space="preserve">, all further rights and obligations of the </w:t>
      </w:r>
      <w:r>
        <w:rPr>
          <w:rFonts w:ascii="Times New Roman" w:cs="Times New Roman" w:eastAsia="Times New Roman" w:hAnsi="Times New Roman"/>
          <w:sz w:val="19"/>
          <w:szCs w:val="19"/>
          <w:b w:val="1"/>
          <w:bCs w:val="1"/>
          <w:u w:val="single" w:color="auto"/>
          <w:color w:val="auto"/>
        </w:rPr>
        <w:t>Resigning Agent</w:t>
      </w:r>
      <w:r>
        <w:rPr>
          <w:rFonts w:ascii="Times New Roman" w:cs="Times New Roman" w:eastAsia="Times New Roman" w:hAnsi="Times New Roman"/>
          <w:sz w:val="19"/>
          <w:szCs w:val="19"/>
          <w:color w:val="auto"/>
        </w:rPr>
        <w:t xml:space="preserve"> as agent of the other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hereunder shall be immediately discharged, and the </w:t>
      </w:r>
      <w:r>
        <w:rPr>
          <w:rFonts w:ascii="Times New Roman" w:cs="Times New Roman" w:eastAsia="Times New Roman" w:hAnsi="Times New Roman"/>
          <w:sz w:val="19"/>
          <w:szCs w:val="19"/>
          <w:b w:val="1"/>
          <w:bCs w:val="1"/>
          <w:u w:val="single" w:color="auto"/>
          <w:color w:val="auto"/>
        </w:rPr>
        <w:t>Successor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assume all further rights and obligations as agent of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w:t>
      </w:r>
    </w:p>
    <w:p>
      <w:pPr>
        <w:spacing w:after="0" w:line="173"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32"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After receipt of the notice of succession from the </w:t>
      </w:r>
      <w:r>
        <w:rPr>
          <w:rFonts w:ascii="Times New Roman" w:cs="Times New Roman" w:eastAsia="Times New Roman" w:hAnsi="Times New Roman"/>
          <w:sz w:val="19"/>
          <w:szCs w:val="19"/>
          <w:b w:val="1"/>
          <w:bCs w:val="1"/>
          <w:u w:val="single" w:color="auto"/>
          <w:color w:val="auto"/>
        </w:rPr>
        <w:t>Successor Agent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Resigning Agent</w:t>
      </w:r>
      <w:r>
        <w:rPr>
          <w:rFonts w:ascii="Times New Roman" w:cs="Times New Roman" w:eastAsia="Times New Roman" w:hAnsi="Times New Roman"/>
          <w:sz w:val="19"/>
          <w:szCs w:val="19"/>
          <w:color w:val="auto"/>
        </w:rPr>
        <w:t xml:space="preserve"> shall, within ten (10)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provide the Successor Agent with all documents, records and necessary assistance reasonably required for the exercise of rights and performance of obligations hereunder.</w:t>
      </w:r>
    </w:p>
    <w:p>
      <w:pPr>
        <w:spacing w:after="0" w:line="173"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639"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may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resign in accordance with Paragraph 1 above. Upon receipt of such resignation request,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resign accordingly in accordance with the provisions of this Article. Otherwise,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may decide to remove and replace such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643" w:val="left"/>
        </w:tabs>
        <w:numPr>
          <w:ilvl w:val="0"/>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of a change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the Borrower shall be notified [ten (10)] days in advance of such change, and matters such as the transfer of the special fund supervision account shall be properly completed.</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9"/>
          <w:szCs w:val="19"/>
          <w:b w:val="1"/>
          <w:bCs w:val="1"/>
          <w:color w:val="auto"/>
        </w:rPr>
        <w:t>17.10</w:t>
      </w:r>
      <w:r>
        <w:rPr>
          <w:sz w:val="20"/>
          <w:szCs w:val="20"/>
          <w:color w:val="auto"/>
        </w:rPr>
        <w:tab/>
      </w:r>
      <w:r>
        <w:rPr>
          <w:rFonts w:ascii="Times New Roman" w:cs="Times New Roman" w:eastAsia="Times New Roman" w:hAnsi="Times New Roman"/>
          <w:sz w:val="18"/>
          <w:szCs w:val="18"/>
          <w:b w:val="1"/>
          <w:bCs w:val="1"/>
          <w:color w:val="auto"/>
        </w:rPr>
        <w:t>Deduction and Set-off by Agent</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owes any amount 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hereunder, the Agent may, after notifying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deduct an amount not exceeding such outstanding Indebtedness from any amount otherwise payable by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to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hereunder and apply such deducted amount to set off such Indebtedness, and such deducted amount shall be deemed to have been received by such </w:t>
      </w:r>
      <w:r>
        <w:rPr>
          <w:rFonts w:ascii="Times New Roman" w:cs="Times New Roman" w:eastAsia="Times New Roman" w:hAnsi="Times New Roman"/>
          <w:sz w:val="19"/>
          <w:szCs w:val="19"/>
          <w:b w:val="1"/>
          <w:bCs w:val="1"/>
          <w:u w:val="single" w:color="auto"/>
          <w:color w:val="auto"/>
        </w:rPr>
        <w:t>Syndicate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Member</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9"/>
          <w:szCs w:val="19"/>
          <w:b w:val="1"/>
          <w:bCs w:val="1"/>
          <w:color w:val="auto"/>
        </w:rPr>
        <w:t>17.11</w:t>
      </w:r>
      <w:r>
        <w:rPr>
          <w:sz w:val="20"/>
          <w:szCs w:val="20"/>
          <w:color w:val="auto"/>
        </w:rPr>
        <w:tab/>
      </w:r>
      <w:r>
        <w:rPr>
          <w:rFonts w:ascii="Times New Roman" w:cs="Times New Roman" w:eastAsia="Times New Roman" w:hAnsi="Times New Roman"/>
          <w:sz w:val="18"/>
          <w:szCs w:val="18"/>
          <w:b w:val="1"/>
          <w:bCs w:val="1"/>
          <w:color w:val="auto"/>
        </w:rPr>
        <w:t>Other Business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(including its branches) may accept deposits from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provide other loans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or engage in any other type of banking business with the Borrower.</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9"/>
          <w:szCs w:val="19"/>
          <w:b w:val="1"/>
          <w:bCs w:val="1"/>
          <w:color w:val="auto"/>
        </w:rPr>
        <w:t>17.12</w:t>
      </w:r>
      <w:r>
        <w:rPr>
          <w:sz w:val="20"/>
          <w:szCs w:val="20"/>
          <w:color w:val="auto"/>
        </w:rPr>
        <w:tab/>
      </w:r>
      <w:r>
        <w:rPr>
          <w:rFonts w:ascii="Times New Roman" w:cs="Times New Roman" w:eastAsia="Times New Roman" w:hAnsi="Times New Roman"/>
          <w:sz w:val="19"/>
          <w:szCs w:val="19"/>
          <w:b w:val="1"/>
          <w:bCs w:val="1"/>
          <w:color w:val="auto"/>
        </w:rPr>
        <w:t>Dealings with Lenders</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Unless the Agent receives a notice to the contrary from the relevant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 accordance with the terms hereof,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may assume that such Lender is entitled to receive amounts hereunder and is acting through its </w:t>
      </w:r>
      <w:r>
        <w:rPr>
          <w:rFonts w:ascii="Times New Roman" w:cs="Times New Roman" w:eastAsia="Times New Roman" w:hAnsi="Times New Roman"/>
          <w:sz w:val="19"/>
          <w:szCs w:val="19"/>
          <w:b w:val="1"/>
          <w:bCs w:val="1"/>
          <w:u w:val="single" w:color="auto"/>
          <w:color w:val="auto"/>
        </w:rPr>
        <w:t>Handling Bank</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XVIII. Fees and Indemnification</w:t>
      </w:r>
    </w:p>
    <w:p>
      <w:pPr>
        <w:spacing w:after="0" w:line="218" w:lineRule="exact"/>
        <w:rPr>
          <w:sz w:val="20"/>
          <w:szCs w:val="20"/>
          <w:color w:val="auto"/>
        </w:rPr>
      </w:pPr>
    </w:p>
    <w:p>
      <w:pPr>
        <w:ind w:right="60" w:firstLine="443"/>
        <w:spacing w:after="0" w:line="265" w:lineRule="auto"/>
        <w:rPr>
          <w:sz w:val="20"/>
          <w:szCs w:val="20"/>
          <w:color w:val="auto"/>
        </w:rPr>
      </w:pPr>
      <w:r>
        <w:rPr>
          <w:rFonts w:ascii="Times New Roman" w:cs="Times New Roman" w:eastAsia="Times New Roman" w:hAnsi="Times New Roman"/>
          <w:sz w:val="19"/>
          <w:szCs w:val="19"/>
          <w:color w:val="auto"/>
        </w:rPr>
        <w:t>If the Parties have executed a fee letter with relevant Parties in respect of the transactions hereunder, and the provisions below are inconsistent with those in the fee letter, the provisions in the fee letter shall prevail.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18.1 Syndication Fees</w:t>
      </w:r>
    </w:p>
    <w:p>
      <w:pPr>
        <w:spacing w:after="0" w:line="218" w:lineRule="exact"/>
        <w:rPr>
          <w:sz w:val="20"/>
          <w:szCs w:val="20"/>
          <w:color w:val="auto"/>
        </w:rPr>
      </w:pPr>
    </w:p>
    <w:p>
      <w:pPr>
        <w:ind w:right="60" w:firstLine="443"/>
        <w:spacing w:after="0" w:line="265" w:lineRule="auto"/>
        <w:rPr>
          <w:sz w:val="20"/>
          <w:szCs w:val="20"/>
          <w:color w:val="auto"/>
        </w:rPr>
      </w:pPr>
      <w:r>
        <w:rPr>
          <w:rFonts w:ascii="Times New Roman" w:cs="Times New Roman" w:eastAsia="Times New Roman" w:hAnsi="Times New Roman"/>
          <w:sz w:val="19"/>
          <w:szCs w:val="19"/>
          <w:color w:val="auto"/>
        </w:rPr>
        <w:t>The syndication arrangement fee, participation fee, commitment fee, agency fee and other fees payable by the Borrower hereunder shall be subject to the provisions of the fee letter executed by the relevant Parties and the Borrower.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18.2 Syndicate Costs</w:t>
      </w:r>
    </w:p>
    <w:p>
      <w:pPr>
        <w:spacing w:after="0" w:line="214" w:lineRule="exact"/>
        <w:rPr>
          <w:sz w:val="20"/>
          <w:szCs w:val="20"/>
          <w:color w:val="auto"/>
        </w:rPr>
      </w:pPr>
    </w:p>
    <w:p>
      <w:pPr>
        <w:jc w:val="both"/>
        <w:ind w:right="40" w:firstLine="451"/>
        <w:spacing w:after="0" w:line="253" w:lineRule="auto"/>
        <w:tabs>
          <w:tab w:leader="none" w:pos="649"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hereby agree that all reasonable fees and expenses incurred by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in connection with the negotiation, preparation, execution, amendment and waiver of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color w:val="auto"/>
        </w:rPr>
        <w:t xml:space="preserve"> (including but not limited to the fees of professional institutions such as lawyers and valuers) shall be borne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(unless otherwise provided by applicable laws and regulations).</w:t>
      </w:r>
    </w:p>
    <w:p>
      <w:pPr>
        <w:spacing w:after="0" w:line="173" w:lineRule="exact"/>
        <w:rPr>
          <w:rFonts w:ascii="Times New Roman" w:cs="Times New Roman" w:eastAsia="Times New Roman" w:hAnsi="Times New Roman"/>
          <w:sz w:val="19"/>
          <w:szCs w:val="19"/>
          <w:color w:val="auto"/>
        </w:rPr>
      </w:pPr>
    </w:p>
    <w:p>
      <w:pPr>
        <w:jc w:val="both"/>
        <w:ind w:right="60" w:firstLine="451"/>
        <w:spacing w:after="0" w:line="253" w:lineRule="auto"/>
        <w:tabs>
          <w:tab w:leader="none" w:pos="651"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hereby agree that all fees and expenses incurred by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 enforcing or preserving its rights under the </w:t>
      </w:r>
      <w:r>
        <w:rPr>
          <w:rFonts w:ascii="Times New Roman" w:cs="Times New Roman" w:eastAsia="Times New Roman" w:hAnsi="Times New Roman"/>
          <w:sz w:val="19"/>
          <w:szCs w:val="19"/>
          <w:b w:val="1"/>
          <w:bCs w:val="1"/>
          <w:u w:val="single" w:color="auto"/>
          <w:color w:val="auto"/>
        </w:rPr>
        <w:t>Finance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any jurisdiction (including but not limited to the fees of professional institutions such as lawyers and valuers and the costs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litigation or arbitration) shall be borne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(unless otherwise provided by applicable laws and regulations).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18.3 Exchange Shortfall Indemnity</w:t>
      </w:r>
    </w:p>
    <w:p>
      <w:pPr>
        <w:spacing w:after="0" w:line="214" w:lineRule="exact"/>
        <w:rPr>
          <w:sz w:val="20"/>
          <w:szCs w:val="20"/>
          <w:color w:val="auto"/>
        </w:rPr>
      </w:pPr>
    </w:p>
    <w:p>
      <w:pPr>
        <w:jc w:val="both"/>
        <w:ind w:right="40" w:firstLine="443"/>
        <w:spacing w:after="0" w:line="245" w:lineRule="auto"/>
        <w:rPr>
          <w:sz w:val="20"/>
          <w:szCs w:val="20"/>
          <w:color w:val="auto"/>
        </w:rPr>
      </w:pPr>
      <w:r>
        <w:rPr>
          <w:rFonts w:ascii="Times New Roman" w:cs="Times New Roman" w:eastAsia="Times New Roman" w:hAnsi="Times New Roman"/>
          <w:sz w:val="19"/>
          <w:szCs w:val="19"/>
          <w:color w:val="auto"/>
        </w:rPr>
        <w:t xml:space="preserve">If any amount payable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hereunder is paid in a currency other than the currency expressly agreed to be payable hereunder (the “</w:t>
      </w:r>
      <w:r>
        <w:rPr>
          <w:rFonts w:ascii="Times New Roman" w:cs="Times New Roman" w:eastAsia="Times New Roman" w:hAnsi="Times New Roman"/>
          <w:sz w:val="19"/>
          <w:szCs w:val="19"/>
          <w:b w:val="1"/>
          <w:bCs w:val="1"/>
          <w:u w:val="single" w:color="auto"/>
          <w:color w:val="auto"/>
        </w:rPr>
        <w:t>Contractual Currency</w:t>
      </w:r>
      <w:r>
        <w:rPr>
          <w:rFonts w:ascii="Times New Roman" w:cs="Times New Roman" w:eastAsia="Times New Roman" w:hAnsi="Times New Roman"/>
          <w:sz w:val="19"/>
          <w:szCs w:val="19"/>
          <w:color w:val="auto"/>
        </w:rPr>
        <w:t>”), but in any other currency (the “</w:t>
      </w:r>
      <w:r>
        <w:rPr>
          <w:rFonts w:ascii="Times New Roman" w:cs="Times New Roman" w:eastAsia="Times New Roman" w:hAnsi="Times New Roman"/>
          <w:sz w:val="19"/>
          <w:szCs w:val="19"/>
          <w:b w:val="1"/>
          <w:bCs w:val="1"/>
          <w:u w:val="single" w:color="auto"/>
          <w:color w:val="auto"/>
        </w:rPr>
        <w:t>Payment Currency</w:t>
      </w:r>
      <w:r>
        <w:rPr>
          <w:rFonts w:ascii="Times New Roman" w:cs="Times New Roman" w:eastAsia="Times New Roman" w:hAnsi="Times New Roman"/>
          <w:sz w:val="19"/>
          <w:szCs w:val="19"/>
          <w:color w:val="auto"/>
        </w:rPr>
        <w:t xml:space="preserve">”), and after the relevant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converts such </w:t>
      </w:r>
      <w:r>
        <w:rPr>
          <w:rFonts w:ascii="Times New Roman" w:cs="Times New Roman" w:eastAsia="Times New Roman" w:hAnsi="Times New Roman"/>
          <w:sz w:val="19"/>
          <w:szCs w:val="19"/>
          <w:b w:val="1"/>
          <w:bCs w:val="1"/>
          <w:u w:val="single" w:color="auto"/>
          <w:color w:val="auto"/>
        </w:rPr>
        <w:t>Payment Currency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Contractual Currency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the market exchange rate, the amount is less than the amount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should have received,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indemnify for such shortfall and any exchange fees incurred by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 connection therewith.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18.4 Calculation Basis</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intends to demand the relevant fees or indemnification from the Borrower pursuant to Article 18.2 (</w:t>
      </w:r>
      <w:r>
        <w:rPr>
          <w:rFonts w:ascii="Times New Roman" w:cs="Times New Roman" w:eastAsia="Times New Roman" w:hAnsi="Times New Roman"/>
          <w:sz w:val="19"/>
          <w:szCs w:val="19"/>
          <w:i w:val="1"/>
          <w:iCs w:val="1"/>
          <w:color w:val="auto"/>
        </w:rPr>
        <w:t>Syndicate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Costs</w:t>
      </w:r>
      <w:r>
        <w:rPr>
          <w:rFonts w:ascii="Times New Roman" w:cs="Times New Roman" w:eastAsia="Times New Roman" w:hAnsi="Times New Roman"/>
          <w:sz w:val="19"/>
          <w:szCs w:val="19"/>
          <w:color w:val="auto"/>
        </w:rPr>
        <w:t>) or Article 18.3 (</w:t>
      </w:r>
      <w:r>
        <w:rPr>
          <w:rFonts w:ascii="Times New Roman" w:cs="Times New Roman" w:eastAsia="Times New Roman" w:hAnsi="Times New Roman"/>
          <w:sz w:val="19"/>
          <w:szCs w:val="19"/>
          <w:i w:val="1"/>
          <w:iCs w:val="1"/>
          <w:color w:val="auto"/>
        </w:rPr>
        <w:t>Exchange Shortfall Indemnity</w:t>
      </w:r>
      <w:r>
        <w:rPr>
          <w:rFonts w:ascii="Times New Roman" w:cs="Times New Roman" w:eastAsia="Times New Roman" w:hAnsi="Times New Roman"/>
          <w:sz w:val="19"/>
          <w:szCs w:val="19"/>
          <w:color w:val="auto"/>
        </w:rPr>
        <w:t>), it shall notify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provide detailed calculation basis and evidential documents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such demand. Upon receipt of such demand,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provide the relevant materials for the Borrower’s confirmation.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XIX. Transfer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19.1 Transfer by the Borrower</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not transfer any of its rights or obligations 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19.2 Transfer by Lenders</w:t>
      </w:r>
    </w:p>
    <w:p>
      <w:pPr>
        <w:spacing w:after="0" w:line="214" w:lineRule="exact"/>
        <w:rPr>
          <w:sz w:val="20"/>
          <w:szCs w:val="20"/>
          <w:color w:val="auto"/>
        </w:rPr>
      </w:pPr>
    </w:p>
    <w:p>
      <w:pPr>
        <w:jc w:val="both"/>
        <w:ind w:right="40" w:firstLine="451"/>
        <w:spacing w:after="0" w:line="253" w:lineRule="auto"/>
        <w:tabs>
          <w:tab w:leader="none" w:pos="637"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Transferor Lender</w:t>
      </w:r>
      <w:r>
        <w:rPr>
          <w:rFonts w:ascii="Times New Roman" w:cs="Times New Roman" w:eastAsia="Times New Roman" w:hAnsi="Times New Roman"/>
          <w:sz w:val="19"/>
          <w:szCs w:val="19"/>
          <w:color w:val="auto"/>
        </w:rPr>
        <w:t>”) intends to transfer all or any of its rights and/or obligations hereunder to one or more financial institutions (the “</w:t>
      </w:r>
      <w:r>
        <w:rPr>
          <w:rFonts w:ascii="Times New Roman" w:cs="Times New Roman" w:eastAsia="Times New Roman" w:hAnsi="Times New Roman"/>
          <w:sz w:val="19"/>
          <w:szCs w:val="19"/>
          <w:b w:val="1"/>
          <w:bCs w:val="1"/>
          <w:u w:val="single" w:color="auto"/>
          <w:color w:val="auto"/>
        </w:rPr>
        <w:t>Transferee Lenders</w:t>
      </w:r>
      <w:r>
        <w:rPr>
          <w:rFonts w:ascii="Times New Roman" w:cs="Times New Roman" w:eastAsia="Times New Roman" w:hAnsi="Times New Roman"/>
          <w:sz w:val="19"/>
          <w:szCs w:val="19"/>
          <w:color w:val="auto"/>
        </w:rPr>
        <w:t>”), it shall give a notice (the “</w:t>
      </w:r>
      <w:r>
        <w:rPr>
          <w:rFonts w:ascii="Times New Roman" w:cs="Times New Roman" w:eastAsia="Times New Roman" w:hAnsi="Times New Roman"/>
          <w:sz w:val="19"/>
          <w:szCs w:val="19"/>
          <w:b w:val="1"/>
          <w:bCs w:val="1"/>
          <w:u w:val="single" w:color="auto"/>
          <w:color w:val="auto"/>
        </w:rPr>
        <w:t>Transfer Notice</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at least ten (10) </w:t>
      </w:r>
      <w:r>
        <w:rPr>
          <w:rFonts w:ascii="Times New Roman" w:cs="Times New Roman" w:eastAsia="Times New Roman" w:hAnsi="Times New Roman"/>
          <w:sz w:val="19"/>
          <w:szCs w:val="19"/>
          <w:b w:val="1"/>
          <w:bCs w:val="1"/>
          <w:u w:val="single" w:color="auto"/>
          <w:color w:val="auto"/>
        </w:rPr>
        <w:t>Business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Days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advance.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82" w:lineRule="exact"/>
        <w:rPr>
          <w:sz w:val="20"/>
          <w:szCs w:val="20"/>
          <w:color w:val="auto"/>
        </w:rPr>
      </w:pPr>
    </w:p>
    <w:p>
      <w:pPr>
        <w:jc w:val="both"/>
        <w:ind w:right="40" w:firstLine="451"/>
        <w:spacing w:after="0" w:line="253" w:lineRule="auto"/>
        <w:tabs>
          <w:tab w:leader="none" w:pos="655"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intends to transfer all or part of its </w:t>
      </w:r>
      <w:r>
        <w:rPr>
          <w:rFonts w:ascii="Times New Roman" w:cs="Times New Roman" w:eastAsia="Times New Roman" w:hAnsi="Times New Roman"/>
          <w:sz w:val="19"/>
          <w:szCs w:val="19"/>
          <w:b w:val="1"/>
          <w:bCs w:val="1"/>
          <w:u w:val="single" w:color="auto"/>
          <w:color w:val="auto"/>
        </w:rPr>
        <w:t>Commitment</w:t>
      </w:r>
      <w:r>
        <w:rPr>
          <w:rFonts w:ascii="Times New Roman" w:cs="Times New Roman" w:eastAsia="Times New Roman" w:hAnsi="Times New Roman"/>
          <w:sz w:val="19"/>
          <w:szCs w:val="19"/>
          <w:color w:val="auto"/>
        </w:rPr>
        <w:t xml:space="preserve">, it shall obtain the prior written consent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provided, however, that 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does not expressly indicate its disapproval within three (3)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after receipt of the notice of intended transfer issued by the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shall be deemed to have consented to such transfer.</w:t>
      </w:r>
    </w:p>
    <w:p>
      <w:pPr>
        <w:spacing w:after="0" w:line="173" w:lineRule="exact"/>
        <w:rPr>
          <w:rFonts w:ascii="Times New Roman" w:cs="Times New Roman" w:eastAsia="Times New Roman" w:hAnsi="Times New Roman"/>
          <w:sz w:val="19"/>
          <w:szCs w:val="19"/>
          <w:color w:val="auto"/>
        </w:rPr>
      </w:pPr>
    </w:p>
    <w:p>
      <w:pPr>
        <w:ind w:right="60" w:firstLine="451"/>
        <w:spacing w:after="0" w:line="270" w:lineRule="auto"/>
        <w:tabs>
          <w:tab w:leader="none" w:pos="641"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intends to transfer all of its share in the </w:t>
      </w:r>
      <w:r>
        <w:rPr>
          <w:rFonts w:ascii="Times New Roman" w:cs="Times New Roman" w:eastAsia="Times New Roman" w:hAnsi="Times New Roman"/>
          <w:sz w:val="19"/>
          <w:szCs w:val="19"/>
          <w:b w:val="1"/>
          <w:bCs w:val="1"/>
          <w:u w:val="single" w:color="auto"/>
          <w:color w:val="auto"/>
        </w:rPr>
        <w:t>Outstanding Loan Balance</w:t>
      </w:r>
      <w:r>
        <w:rPr>
          <w:rFonts w:ascii="Times New Roman" w:cs="Times New Roman" w:eastAsia="Times New Roman" w:hAnsi="Times New Roman"/>
          <w:sz w:val="19"/>
          <w:szCs w:val="19"/>
          <w:color w:val="auto"/>
        </w:rPr>
        <w:t xml:space="preserve">, it shall not require the consent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or any other Party hereto.</w:t>
      </w:r>
    </w:p>
    <w:p>
      <w:pPr>
        <w:spacing w:after="0" w:line="156" w:lineRule="exact"/>
        <w:rPr>
          <w:rFonts w:ascii="Times New Roman" w:cs="Times New Roman" w:eastAsia="Times New Roman" w:hAnsi="Times New Roman"/>
          <w:sz w:val="19"/>
          <w:szCs w:val="19"/>
          <w:color w:val="auto"/>
        </w:rPr>
      </w:pPr>
    </w:p>
    <w:p>
      <w:pPr>
        <w:ind w:right="40" w:firstLine="451"/>
        <w:spacing w:after="0" w:line="270" w:lineRule="auto"/>
        <w:tabs>
          <w:tab w:leader="none" w:pos="646"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if national laws, regulations or regulatory authorities provide otherwise for syndicated loans, the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shall comply with such provisions when making the aforesaid transfer.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19.3 Effectiveness of Transfer</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An transfer made by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 accordance with Article 19.2 (</w:t>
      </w:r>
      <w:r>
        <w:rPr>
          <w:rFonts w:ascii="Times New Roman" w:cs="Times New Roman" w:eastAsia="Times New Roman" w:hAnsi="Times New Roman"/>
          <w:sz w:val="19"/>
          <w:szCs w:val="19"/>
          <w:i w:val="1"/>
          <w:iCs w:val="1"/>
          <w:color w:val="auto"/>
        </w:rPr>
        <w:t>Transfer by Lenders</w:t>
      </w:r>
      <w:r>
        <w:rPr>
          <w:rFonts w:ascii="Times New Roman" w:cs="Times New Roman" w:eastAsia="Times New Roman" w:hAnsi="Times New Roman"/>
          <w:sz w:val="19"/>
          <w:szCs w:val="19"/>
          <w:color w:val="auto"/>
        </w:rPr>
        <w:t xml:space="preserve">) shall take effect on the Transfer Date specified in the Transfer Certificate after the </w:t>
      </w:r>
      <w:r>
        <w:rPr>
          <w:rFonts w:ascii="Times New Roman" w:cs="Times New Roman" w:eastAsia="Times New Roman" w:hAnsi="Times New Roman"/>
          <w:sz w:val="19"/>
          <w:szCs w:val="19"/>
          <w:b w:val="1"/>
          <w:bCs w:val="1"/>
          <w:u w:val="single" w:color="auto"/>
          <w:color w:val="auto"/>
        </w:rPr>
        <w:t>Transferor 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have executed a duly completed </w:t>
      </w:r>
      <w:r>
        <w:rPr>
          <w:rFonts w:ascii="Times New Roman" w:cs="Times New Roman" w:eastAsia="Times New Roman" w:hAnsi="Times New Roman"/>
          <w:sz w:val="19"/>
          <w:szCs w:val="19"/>
          <w:b w:val="1"/>
          <w:bCs w:val="1"/>
          <w:u w:val="single" w:color="auto"/>
          <w:color w:val="auto"/>
        </w:rPr>
        <w:t>Transfer Certificate</w:t>
      </w:r>
      <w:r>
        <w:rPr>
          <w:rFonts w:ascii="Times New Roman" w:cs="Times New Roman" w:eastAsia="Times New Roman" w:hAnsi="Times New Roman"/>
          <w:sz w:val="19"/>
          <w:szCs w:val="19"/>
          <w:color w:val="auto"/>
        </w:rPr>
        <w:t xml:space="preserve"> (in the form and content set out in Schedule 3 (</w:t>
      </w:r>
      <w:r>
        <w:rPr>
          <w:rFonts w:ascii="Times New Roman" w:cs="Times New Roman" w:eastAsia="Times New Roman" w:hAnsi="Times New Roman"/>
          <w:sz w:val="19"/>
          <w:szCs w:val="19"/>
          <w:i w:val="1"/>
          <w:iCs w:val="1"/>
          <w:color w:val="auto"/>
        </w:rPr>
        <w:t>Form of Transfer Certificate</w:t>
      </w:r>
      <w:r>
        <w:rPr>
          <w:rFonts w:ascii="Times New Roman" w:cs="Times New Roman" w:eastAsia="Times New Roman" w:hAnsi="Times New Roman"/>
          <w:sz w:val="19"/>
          <w:szCs w:val="19"/>
          <w:color w:val="auto"/>
        </w:rPr>
        <w:t xml:space="preserve">) hereto).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not refuse or delay signing the </w:t>
      </w:r>
      <w:r>
        <w:rPr>
          <w:rFonts w:ascii="Times New Roman" w:cs="Times New Roman" w:eastAsia="Times New Roman" w:hAnsi="Times New Roman"/>
          <w:sz w:val="19"/>
          <w:szCs w:val="19"/>
          <w:b w:val="1"/>
          <w:bCs w:val="1"/>
          <w:u w:val="single" w:color="auto"/>
          <w:color w:val="auto"/>
        </w:rPr>
        <w:t>Transfer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Certificate</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19.4 Binding Effect of Transfer</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Any transfer made and completed in accordance with Article XIX (</w:t>
      </w:r>
      <w:r>
        <w:rPr>
          <w:rFonts w:ascii="Times New Roman" w:cs="Times New Roman" w:eastAsia="Times New Roman" w:hAnsi="Times New Roman"/>
          <w:sz w:val="19"/>
          <w:szCs w:val="19"/>
          <w:i w:val="1"/>
          <w:iCs w:val="1"/>
          <w:color w:val="auto"/>
        </w:rPr>
        <w:t>Transfer</w:t>
      </w:r>
      <w:r>
        <w:rPr>
          <w:rFonts w:ascii="Times New Roman" w:cs="Times New Roman" w:eastAsia="Times New Roman" w:hAnsi="Times New Roman"/>
          <w:sz w:val="19"/>
          <w:szCs w:val="19"/>
          <w:color w:val="auto"/>
        </w:rPr>
        <w:t>) shall be binding on all Parties hereto.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19.5 Consequences of Transfer</w:t>
      </w:r>
    </w:p>
    <w:p>
      <w:pPr>
        <w:spacing w:after="0" w:line="214" w:lineRule="exact"/>
        <w:rPr>
          <w:sz w:val="20"/>
          <w:szCs w:val="20"/>
          <w:color w:val="auto"/>
        </w:rPr>
      </w:pPr>
    </w:p>
    <w:p>
      <w:pPr>
        <w:jc w:val="both"/>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With effect from the effective date of the transfer, the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shall become a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and, within the scope of the transfer target set out in the </w:t>
      </w:r>
      <w:r>
        <w:rPr>
          <w:rFonts w:ascii="Times New Roman" w:cs="Times New Roman" w:eastAsia="Times New Roman" w:hAnsi="Times New Roman"/>
          <w:sz w:val="19"/>
          <w:szCs w:val="19"/>
          <w:b w:val="1"/>
          <w:bCs w:val="1"/>
          <w:u w:val="single" w:color="auto"/>
          <w:color w:val="auto"/>
        </w:rPr>
        <w:t>Transfer Certificate</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640" w:hanging="189"/>
        <w:spacing w:after="0"/>
        <w:tabs>
          <w:tab w:leader="none" w:pos="64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Transferor Lender</w:t>
      </w:r>
      <w:r>
        <w:rPr>
          <w:rFonts w:ascii="Times New Roman" w:cs="Times New Roman" w:eastAsia="Times New Roman" w:hAnsi="Times New Roman"/>
          <w:sz w:val="19"/>
          <w:szCs w:val="19"/>
          <w:color w:val="auto"/>
        </w:rPr>
        <w:t xml:space="preserve"> shall cease to have and bear all rights and obligations hereunder relating to the transfer target; and</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shall have and bear all rights and obligations hereunder relating to the transfer target.</w:t>
      </w:r>
    </w:p>
    <w:p>
      <w:pPr>
        <w:spacing w:after="0" w:line="18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b w:val="1"/>
          <w:bCs w:val="1"/>
          <w:color w:val="auto"/>
        </w:rPr>
        <w:t>19.6 Non</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liability of Transferor Lender</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Transferor Lender</w:t>
      </w:r>
      <w:r>
        <w:rPr>
          <w:rFonts w:ascii="Times New Roman" w:cs="Times New Roman" w:eastAsia="Times New Roman" w:hAnsi="Times New Roman"/>
          <w:sz w:val="19"/>
          <w:szCs w:val="19"/>
          <w:color w:val="auto"/>
        </w:rPr>
        <w:t xml:space="preserve"> shall not be liable to the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in respect of any of the following matters:</w:t>
      </w:r>
    </w:p>
    <w:p>
      <w:pPr>
        <w:spacing w:after="0" w:line="218" w:lineRule="exact"/>
        <w:rPr>
          <w:sz w:val="20"/>
          <w:szCs w:val="20"/>
          <w:color w:val="auto"/>
        </w:rPr>
      </w:pPr>
    </w:p>
    <w:p>
      <w:pPr>
        <w:ind w:left="640" w:hanging="189"/>
        <w:spacing w:after="0"/>
        <w:tabs>
          <w:tab w:leader="none" w:pos="64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due execution, authenticity, accuracy, completeness, legality, validity or enforceability of this Contract or any other document relating</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hereto;</w:t>
      </w:r>
    </w:p>
    <w:p>
      <w:pPr>
        <w:spacing w:after="0" w:line="19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collectability of any amounts payable hereunder; and</w:t>
      </w:r>
    </w:p>
    <w:p>
      <w:pPr>
        <w:spacing w:after="0" w:line="213" w:lineRule="exact"/>
        <w:rPr>
          <w:rFonts w:ascii="Times New Roman" w:cs="Times New Roman" w:eastAsia="Times New Roman" w:hAnsi="Times New Roman"/>
          <w:sz w:val="19"/>
          <w:szCs w:val="19"/>
          <w:color w:val="auto"/>
        </w:rPr>
      </w:pPr>
    </w:p>
    <w:p>
      <w:pPr>
        <w:ind w:right="60" w:firstLine="451"/>
        <w:spacing w:after="0" w:line="265" w:lineRule="auto"/>
        <w:tabs>
          <w:tab w:leader="none" w:pos="652"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truthfulness, accuracy and completeness of any factual statements made by any other Party hereto under or in connection with this Contract.</w:t>
      </w:r>
    </w:p>
    <w:p>
      <w:pPr>
        <w:spacing w:after="0" w:line="13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b w:val="1"/>
          <w:bCs w:val="1"/>
          <w:color w:val="auto"/>
        </w:rPr>
        <w:t>19.7 Further Non</w:t>
      </w:r>
      <w:r>
        <w:rPr>
          <w:rFonts w:ascii="MS PGothic" w:cs="MS PGothic" w:eastAsia="MS PGothic" w:hAnsi="MS PGothic"/>
          <w:sz w:val="19"/>
          <w:szCs w:val="19"/>
          <w:color w:val="auto"/>
          <w:strike w:val="1"/>
        </w:rPr>
        <w:t>‑</w:t>
      </w:r>
      <w:r>
        <w:rPr>
          <w:rFonts w:ascii="Times New Roman" w:cs="Times New Roman" w:eastAsia="Times New Roman" w:hAnsi="Times New Roman"/>
          <w:sz w:val="19"/>
          <w:szCs w:val="19"/>
          <w:b w:val="1"/>
          <w:bCs w:val="1"/>
          <w:color w:val="auto"/>
        </w:rPr>
        <w:t>liability of Transferor Lender</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Transferor Lender</w:t>
      </w:r>
      <w:r>
        <w:rPr>
          <w:rFonts w:ascii="Times New Roman" w:cs="Times New Roman" w:eastAsia="Times New Roman" w:hAnsi="Times New Roman"/>
          <w:sz w:val="19"/>
          <w:szCs w:val="19"/>
          <w:color w:val="auto"/>
        </w:rPr>
        <w:t xml:space="preserve"> shall have no obligation:</w:t>
      </w:r>
    </w:p>
    <w:p>
      <w:pPr>
        <w:spacing w:after="0" w:line="214" w:lineRule="exact"/>
        <w:rPr>
          <w:sz w:val="20"/>
          <w:szCs w:val="20"/>
          <w:color w:val="auto"/>
        </w:rPr>
      </w:pPr>
    </w:p>
    <w:p>
      <w:pPr>
        <w:ind w:right="60" w:firstLine="451"/>
        <w:spacing w:after="0" w:line="270" w:lineRule="auto"/>
        <w:tabs>
          <w:tab w:leader="none" w:pos="646"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repurchase from any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any rights and obligations it has transferred to such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in accordance with Article 19.2 (</w:t>
      </w:r>
      <w:r>
        <w:rPr>
          <w:rFonts w:ascii="Times New Roman" w:cs="Times New Roman" w:eastAsia="Times New Roman" w:hAnsi="Times New Roman"/>
          <w:sz w:val="19"/>
          <w:szCs w:val="19"/>
          <w:i w:val="1"/>
          <w:iCs w:val="1"/>
          <w:color w:val="auto"/>
        </w:rPr>
        <w:t>Transfer by Lenders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82" w:lineRule="exact"/>
        <w:rPr>
          <w:sz w:val="20"/>
          <w:szCs w:val="20"/>
          <w:color w:val="auto"/>
        </w:rPr>
      </w:pPr>
    </w:p>
    <w:p>
      <w:pPr>
        <w:ind w:right="60" w:firstLine="451"/>
        <w:spacing w:after="0" w:line="270" w:lineRule="auto"/>
        <w:tabs>
          <w:tab w:leader="none" w:pos="646"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indemnify any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against any losses suffered by such </w:t>
      </w:r>
      <w:r>
        <w:rPr>
          <w:rFonts w:ascii="Times New Roman" w:cs="Times New Roman" w:eastAsia="Times New Roman" w:hAnsi="Times New Roman"/>
          <w:sz w:val="19"/>
          <w:szCs w:val="19"/>
          <w:b w:val="1"/>
          <w:bCs w:val="1"/>
          <w:u w:val="single" w:color="auto"/>
          <w:color w:val="auto"/>
        </w:rPr>
        <w:t>Transferee Lender</w:t>
      </w:r>
      <w:r>
        <w:rPr>
          <w:rFonts w:ascii="Times New Roman" w:cs="Times New Roman" w:eastAsia="Times New Roman" w:hAnsi="Times New Roman"/>
          <w:sz w:val="19"/>
          <w:szCs w:val="19"/>
          <w:color w:val="auto"/>
        </w:rPr>
        <w:t xml:space="preserve"> as a result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other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failing to perform any obligation hereunder.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19.8 Bookkeeping</w:t>
      </w:r>
    </w:p>
    <w:p>
      <w:pPr>
        <w:spacing w:after="0" w:line="2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maintain a register of all Parties hereto, be responsible for the registration of transfer, record the details of all previous syndicated loan transfer, and promptly notify the other Parties hereto after any transfer occurs.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19.9 Change of Handling Bank</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may change its Handling Bank by giving a notice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at least ten (10) </w:t>
      </w:r>
      <w:r>
        <w:rPr>
          <w:rFonts w:ascii="Times New Roman" w:cs="Times New Roman" w:eastAsia="Times New Roman" w:hAnsi="Times New Roman"/>
          <w:sz w:val="19"/>
          <w:szCs w:val="19"/>
          <w:b w:val="1"/>
          <w:bCs w:val="1"/>
          <w:u w:val="single" w:color="auto"/>
          <w:color w:val="auto"/>
        </w:rPr>
        <w:t>Business Days</w:t>
      </w:r>
      <w:r>
        <w:rPr>
          <w:rFonts w:ascii="Times New Roman" w:cs="Times New Roman" w:eastAsia="Times New Roman" w:hAnsi="Times New Roman"/>
          <w:sz w:val="19"/>
          <w:szCs w:val="19"/>
          <w:color w:val="auto"/>
        </w:rPr>
        <w:t xml:space="preserve"> in advance.</w:t>
      </w:r>
    </w:p>
    <w:p>
      <w:pPr>
        <w:spacing w:after="0" w:line="214" w:lineRule="exact"/>
        <w:rPr>
          <w:sz w:val="20"/>
          <w:szCs w:val="20"/>
          <w:color w:val="auto"/>
        </w:rPr>
      </w:pPr>
    </w:p>
    <w:p>
      <w:pPr>
        <w:ind w:right="5500" w:firstLine="8"/>
        <w:spacing w:after="0" w:line="474" w:lineRule="auto"/>
        <w:tabs>
          <w:tab w:leader="none" w:pos="367" w:val="left"/>
        </w:tabs>
        <w:numPr>
          <w:ilvl w:val="0"/>
          <w:numId w:val="25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Relationship of Rights and Obligations among Syndicate Members 20.1 Several Obligations</w:t>
      </w:r>
    </w:p>
    <w:p>
      <w:pPr>
        <w:spacing w:after="0" w:line="1"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The obligations of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hereunder are several and independent. If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fails to perform any of its obligations hereunder, such failure shall not affect or excuse the performance by any other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of its respective obligations hereunder. No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shall be liable for the obligations of any other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hereunder.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 Several Rights</w:t>
      </w:r>
    </w:p>
    <w:p>
      <w:pPr>
        <w:spacing w:after="0" w:line="214" w:lineRule="exact"/>
        <w:rPr>
          <w:sz w:val="20"/>
          <w:szCs w:val="20"/>
          <w:color w:val="auto"/>
        </w:rPr>
      </w:pPr>
    </w:p>
    <w:p>
      <w:pPr>
        <w:jc w:val="both"/>
        <w:ind w:right="60" w:firstLine="443"/>
        <w:spacing w:after="0" w:line="248" w:lineRule="auto"/>
        <w:rPr>
          <w:sz w:val="20"/>
          <w:szCs w:val="20"/>
          <w:color w:val="auto"/>
        </w:rPr>
      </w:pPr>
      <w:r>
        <w:rPr>
          <w:rFonts w:ascii="Times New Roman" w:cs="Times New Roman" w:eastAsia="Times New Roman" w:hAnsi="Times New Roman"/>
          <w:sz w:val="19"/>
          <w:szCs w:val="19"/>
          <w:color w:val="auto"/>
        </w:rPr>
        <w:t xml:space="preserve">The rights of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hereunder are also several and independent. Any Indebtedness from time to time incurred by any Party hereto to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hereunder shall be a separate Indebtedness. Unless otherwise agreed herein, 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shall be entitled to exercise its rights hereunder independently. No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may refuse to perform any of its obligations hereunder on the ground of independence of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XXI. Confidentiality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21.1 Scope of Confidentiality</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Each Party hereto shall keep confidential the information provided to it by other Parties hereunder and expressly marked as confidential.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However, such Party shall have the right to disclose such information under any of the following circumstances:</w:t>
      </w:r>
    </w:p>
    <w:p>
      <w:pPr>
        <w:spacing w:after="0" w:line="190" w:lineRule="exact"/>
        <w:rPr>
          <w:sz w:val="20"/>
          <w:szCs w:val="20"/>
          <w:color w:val="auto"/>
        </w:rPr>
      </w:pPr>
    </w:p>
    <w:p>
      <w:pPr>
        <w:ind w:left="640" w:hanging="189"/>
        <w:spacing w:after="0"/>
        <w:tabs>
          <w:tab w:leader="none" w:pos="64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information has become publicly known without breach of this Article by the relevant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w:t>
      </w:r>
    </w:p>
    <w:p>
      <w:pPr>
        <w:spacing w:after="0" w:line="217" w:lineRule="exact"/>
        <w:rPr>
          <w:rFonts w:ascii="Times New Roman" w:cs="Times New Roman" w:eastAsia="Times New Roman" w:hAnsi="Times New Roman"/>
          <w:sz w:val="19"/>
          <w:szCs w:val="19"/>
          <w:color w:val="auto"/>
        </w:rPr>
      </w:pPr>
    </w:p>
    <w:p>
      <w:pPr>
        <w:ind w:right="40" w:firstLine="451"/>
        <w:spacing w:after="0" w:line="265" w:lineRule="auto"/>
        <w:tabs>
          <w:tab w:leader="none" w:pos="666"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information is required to be disclosed in connection with any litigation, arbitration or administrative proceeding, enforcement proceedings of judicial or administrative authorities or other proceedings of a similar nature;</w:t>
      </w:r>
    </w:p>
    <w:p>
      <w:pPr>
        <w:spacing w:after="0" w:line="165" w:lineRule="exact"/>
        <w:rPr>
          <w:rFonts w:ascii="Times New Roman" w:cs="Times New Roman" w:eastAsia="Times New Roman" w:hAnsi="Times New Roman"/>
          <w:sz w:val="19"/>
          <w:szCs w:val="19"/>
          <w:color w:val="auto"/>
        </w:rPr>
      </w:pPr>
    </w:p>
    <w:p>
      <w:pPr>
        <w:ind w:right="60" w:firstLine="451"/>
        <w:spacing w:after="0" w:line="265" w:lineRule="auto"/>
        <w:tabs>
          <w:tab w:leader="none" w:pos="643"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information is required to be disclosed pursuant to any law or regulation (in which case disclosure shall be made only to the extent required by such law or regulation);</w:t>
      </w:r>
    </w:p>
    <w:p>
      <w:pPr>
        <w:spacing w:after="0" w:line="165"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information is required to be disclosed pursuant to the listing rules of the stock exchange where it is listed;</w:t>
      </w:r>
    </w:p>
    <w:p>
      <w:pPr>
        <w:spacing w:after="0" w:line="213" w:lineRule="exact"/>
        <w:rPr>
          <w:rFonts w:ascii="Times New Roman" w:cs="Times New Roman" w:eastAsia="Times New Roman" w:hAnsi="Times New Roman"/>
          <w:sz w:val="19"/>
          <w:szCs w:val="19"/>
          <w:color w:val="auto"/>
        </w:rPr>
      </w:pPr>
    </w:p>
    <w:p>
      <w:pPr>
        <w:ind w:right="60" w:firstLine="451"/>
        <w:spacing w:after="0" w:line="265" w:lineRule="auto"/>
        <w:tabs>
          <w:tab w:leader="none" w:pos="652"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information is required to be disclosed by any governmental, financial, taxation or other administrative authority (in which case disclosure shall be made only to the extent required by such authority);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86" w:lineRule="exact"/>
        <w:rPr>
          <w:sz w:val="20"/>
          <w:szCs w:val="20"/>
          <w:color w:val="auto"/>
        </w:rPr>
      </w:pPr>
    </w:p>
    <w:p>
      <w:pPr>
        <w:jc w:val="both"/>
        <w:ind w:right="40" w:firstLine="451"/>
        <w:spacing w:after="0" w:line="251" w:lineRule="auto"/>
        <w:tabs>
          <w:tab w:leader="none" w:pos="632"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information is disclosed to its directors, officers, employees or professional advisors (including but not limited to lawyers, auditors, etc.) who need to know such information; provided that such persons have undertaken to the relevant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to comply with the confidentiality obligations set forth in this Article;</w:t>
      </w:r>
    </w:p>
    <w:p>
      <w:pPr>
        <w:spacing w:after="0" w:line="174"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information is disclosed to the extent permitted under Article 21.2 (</w:t>
      </w:r>
      <w:r>
        <w:rPr>
          <w:rFonts w:ascii="Times New Roman" w:cs="Times New Roman" w:eastAsia="Times New Roman" w:hAnsi="Times New Roman"/>
          <w:sz w:val="19"/>
          <w:szCs w:val="19"/>
          <w:i w:val="1"/>
          <w:iCs w:val="1"/>
          <w:color w:val="auto"/>
        </w:rPr>
        <w:t>Other Scope of Disclosure</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is required to disclose such information to relevant rating agencies in the securitization of loan claims; and/or</w:t>
      </w:r>
    </w:p>
    <w:p>
      <w:pPr>
        <w:spacing w:after="0" w:line="217"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Disclosure is made with the consent of the provider of the confidential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21.2Other Scope of Disclosure</w:t>
      </w:r>
    </w:p>
    <w:p>
      <w:pPr>
        <w:spacing w:after="0" w:line="214" w:lineRule="exact"/>
        <w:rPr>
          <w:sz w:val="20"/>
          <w:szCs w:val="20"/>
          <w:color w:val="auto"/>
        </w:rPr>
      </w:pPr>
    </w:p>
    <w:p>
      <w:pPr>
        <w:ind w:right="40" w:firstLine="443"/>
        <w:spacing w:after="0" w:line="270" w:lineRule="auto"/>
        <w:rPr>
          <w:sz w:val="20"/>
          <w:szCs w:val="20"/>
          <w:color w:val="auto"/>
        </w:rPr>
      </w:pPr>
      <w:r>
        <w:rPr>
          <w:rFonts w:ascii="Times New Roman" w:cs="Times New Roman" w:eastAsia="Times New Roman" w:hAnsi="Times New Roman"/>
          <w:sz w:val="19"/>
          <w:szCs w:val="19"/>
          <w:color w:val="auto"/>
        </w:rPr>
        <w:t xml:space="preserve">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may disclose the following documents to any person who may or has entered into any transfer or sub-participation agreement under Article XIX (</w:t>
      </w:r>
      <w:r>
        <w:rPr>
          <w:rFonts w:ascii="Times New Roman" w:cs="Times New Roman" w:eastAsia="Times New Roman" w:hAnsi="Times New Roman"/>
          <w:sz w:val="19"/>
          <w:szCs w:val="19"/>
          <w:i w:val="1"/>
          <w:iCs w:val="1"/>
          <w:color w:val="auto"/>
        </w:rPr>
        <w:t>Transfer</w:t>
      </w:r>
      <w:r>
        <w:rPr>
          <w:rFonts w:ascii="Times New Roman" w:cs="Times New Roman" w:eastAsia="Times New Roman" w:hAnsi="Times New Roman"/>
          <w:sz w:val="19"/>
          <w:szCs w:val="19"/>
          <w:color w:val="auto"/>
        </w:rPr>
        <w:t xml:space="preserve">) hereof with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640" w:hanging="189"/>
        <w:spacing w:after="0"/>
        <w:tabs>
          <w:tab w:leader="none" w:pos="64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this Contract; and/or</w:t>
      </w:r>
    </w:p>
    <w:p>
      <w:pPr>
        <w:spacing w:after="0" w:line="209"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information obtained by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 relation to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this Contract and the transactions hereunder.</w:t>
      </w:r>
    </w:p>
    <w:p>
      <w:pPr>
        <w:spacing w:after="0" w:line="214" w:lineRule="exact"/>
        <w:rPr>
          <w:sz w:val="20"/>
          <w:szCs w:val="20"/>
          <w:color w:val="auto"/>
        </w:rPr>
      </w:pPr>
    </w:p>
    <w:p>
      <w:pPr>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Provided, however, that the recipient of the confidential information must undertake to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prior to receiving any such information, to comply with the confidentiality obligations set forth in Article XXI (</w:t>
      </w:r>
      <w:r>
        <w:rPr>
          <w:rFonts w:ascii="Times New Roman" w:cs="Times New Roman" w:eastAsia="Times New Roman" w:hAnsi="Times New Roman"/>
          <w:sz w:val="19"/>
          <w:szCs w:val="19"/>
          <w:i w:val="1"/>
          <w:iCs w:val="1"/>
          <w:color w:val="auto"/>
        </w:rPr>
        <w:t>Confidentiality Obligations</w:t>
      </w:r>
      <w:r>
        <w:rPr>
          <w:rFonts w:ascii="Times New Roman" w:cs="Times New Roman" w:eastAsia="Times New Roman" w:hAnsi="Times New Roman"/>
          <w:sz w:val="19"/>
          <w:szCs w:val="19"/>
          <w:color w:val="auto"/>
        </w:rPr>
        <w:t>) hereof.</w:t>
      </w:r>
    </w:p>
    <w:p>
      <w:pPr>
        <w:sectPr>
          <w:pgSz w:w="11900" w:h="16838" w:orient="portrait"/>
          <w:cols w:equalWidth="0" w:num="1">
            <w:col w:w="11240"/>
          </w:cols>
          <w:pgMar w:left="320" w:top="1440"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21.3 Supersedure</w:t>
      </w:r>
    </w:p>
    <w:p>
      <w:pPr>
        <w:spacing w:after="0" w:line="214" w:lineRule="exact"/>
        <w:rPr>
          <w:sz w:val="20"/>
          <w:szCs w:val="20"/>
          <w:color w:val="auto"/>
        </w:rPr>
      </w:pPr>
    </w:p>
    <w:p>
      <w:pPr>
        <w:jc w:val="both"/>
        <w:ind w:firstLine="443"/>
        <w:spacing w:after="0" w:line="253" w:lineRule="auto"/>
        <w:rPr>
          <w:sz w:val="20"/>
          <w:szCs w:val="20"/>
          <w:color w:val="auto"/>
        </w:rPr>
      </w:pPr>
      <w:r>
        <w:rPr>
          <w:rFonts w:ascii="Times New Roman" w:cs="Times New Roman" w:eastAsia="Times New Roman" w:hAnsi="Times New Roman"/>
          <w:sz w:val="19"/>
          <w:szCs w:val="19"/>
          <w:color w:val="auto"/>
        </w:rPr>
        <w:t>The provisions of Article 21.1 (</w:t>
      </w:r>
      <w:r>
        <w:rPr>
          <w:rFonts w:ascii="Times New Roman" w:cs="Times New Roman" w:eastAsia="Times New Roman" w:hAnsi="Times New Roman"/>
          <w:sz w:val="19"/>
          <w:szCs w:val="19"/>
          <w:i w:val="1"/>
          <w:iCs w:val="1"/>
          <w:color w:val="auto"/>
        </w:rPr>
        <w:t>Scope of Confidentiality</w:t>
      </w:r>
      <w:r>
        <w:rPr>
          <w:rFonts w:ascii="Times New Roman" w:cs="Times New Roman" w:eastAsia="Times New Roman" w:hAnsi="Times New Roman"/>
          <w:sz w:val="19"/>
          <w:szCs w:val="19"/>
          <w:color w:val="auto"/>
        </w:rPr>
        <w:t xml:space="preserve">) and Article confidentiality undertaking made by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 relation to the becoming a Party hereto.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21.4 Information Collection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right="40" w:hanging="1"/>
        <w:spacing w:after="0" w:line="270" w:lineRule="auto"/>
        <w:rPr>
          <w:sz w:val="20"/>
          <w:szCs w:val="20"/>
          <w:color w:val="auto"/>
        </w:rPr>
      </w:pPr>
      <w:r>
        <w:rPr>
          <w:rFonts w:ascii="Times New Roman" w:cs="Times New Roman" w:eastAsia="Times New Roman" w:hAnsi="Times New Roman"/>
          <w:sz w:val="19"/>
          <w:szCs w:val="19"/>
          <w:color w:val="auto"/>
        </w:rPr>
        <w:t>21.2 (</w:t>
      </w:r>
      <w:r>
        <w:rPr>
          <w:rFonts w:ascii="Times New Roman" w:cs="Times New Roman" w:eastAsia="Times New Roman" w:hAnsi="Times New Roman"/>
          <w:sz w:val="19"/>
          <w:szCs w:val="19"/>
          <w:i w:val="1"/>
          <w:iCs w:val="1"/>
          <w:color w:val="auto"/>
        </w:rPr>
        <w:t>Other Scope of Disclosure</w:t>
      </w:r>
      <w:r>
        <w:rPr>
          <w:rFonts w:ascii="Times New Roman" w:cs="Times New Roman" w:eastAsia="Times New Roman" w:hAnsi="Times New Roman"/>
          <w:sz w:val="19"/>
          <w:szCs w:val="19"/>
          <w:color w:val="auto"/>
        </w:rPr>
        <w:t xml:space="preserve">) hereof shall supersede any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this Contract and the transactions hereunder prior to</w:t>
      </w:r>
    </w:p>
    <w:p>
      <w:pPr>
        <w:spacing w:after="0" w:line="790" w:lineRule="exact"/>
        <w:rPr>
          <w:sz w:val="20"/>
          <w:szCs w:val="20"/>
          <w:color w:val="auto"/>
        </w:rPr>
      </w:pPr>
    </w:p>
    <w:p>
      <w:pPr>
        <w:sectPr>
          <w:pgSz w:w="11900" w:h="16838" w:orient="portrait"/>
          <w:cols w:equalWidth="0" w:num="2">
            <w:col w:w="6140" w:space="60"/>
            <w:col w:w="5040"/>
          </w:cols>
          <w:pgMar w:left="320" w:top="1440" w:right="339" w:bottom="1440" w:gutter="0" w:footer="0" w:header="0"/>
          <w:type w:val="continuous"/>
        </w:sectPr>
      </w:pPr>
    </w:p>
    <w:p>
      <w:pPr>
        <w:spacing w:after="0" w:line="14" w:lineRule="exact"/>
        <w:rPr>
          <w:sz w:val="20"/>
          <w:szCs w:val="20"/>
          <w:color w:val="auto"/>
        </w:rPr>
      </w:pPr>
    </w:p>
    <w:p>
      <w:pPr>
        <w:jc w:val="both"/>
        <w:ind w:right="40" w:firstLine="443"/>
        <w:spacing w:after="0" w:line="241"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hereby consents to and irrevocably authorizes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without violating the prohibitive provisions of the Regulation on the Credit Investigation Industry and relevant laws and regulations, and in accordance with the collection requirements of the financial credit information basic database established by the State, to provide the financial credit information basic database established by the State with all information in respect of the contracts, agreements and undertakings signed between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(including the performance information relating to all such contracts, agreements and undertakings), as well as the basic enterprise information and other information provided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for inquiry and use by qualified institutions. Meanwhile,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shall also have the right to inquire and use the credit information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that has been recorded in the financial credit information basic database established by the State. This authorization covers all links necessary for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to manage the business hereunder before and after the execution of this Contract, and shall expire upon the actual termination of this Contract.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XXII. Amendments and Waivers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22.1 Application for and Consent to Amendment or Waiver</w:t>
      </w:r>
    </w:p>
    <w:p>
      <w:pPr>
        <w:spacing w:after="0" w:line="214" w:lineRule="exact"/>
        <w:rPr>
          <w:sz w:val="20"/>
          <w:szCs w:val="20"/>
          <w:color w:val="auto"/>
        </w:rPr>
      </w:pPr>
    </w:p>
    <w:p>
      <w:pPr>
        <w:ind w:right="60" w:firstLine="451"/>
        <w:spacing w:after="0" w:line="270" w:lineRule="auto"/>
        <w:tabs>
          <w:tab w:leader="none" w:pos="646"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submits an application for amendment or waiver of any terms of this Contract,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in accordance with the provisions hereof, review the written application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4" w:name="page255"/>
    <w:bookmarkEnd w:id="254"/>
    <w:p>
      <w:pPr>
        <w:spacing w:after="0" w:line="18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9"/>
          <w:szCs w:val="19"/>
          <w:color w:val="auto"/>
        </w:rPr>
        <w:t xml:space="preserve">submitted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verify whether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has provided the information and materials required for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to make decisions (such as cash flow projections and financial statements). Upon receipt of the aforesaid required documents,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each Lender to vote on such matter.</w:t>
      </w:r>
    </w:p>
    <w:p>
      <w:pPr>
        <w:spacing w:after="0" w:line="173" w:lineRule="exact"/>
        <w:rPr>
          <w:sz w:val="20"/>
          <w:szCs w:val="20"/>
          <w:color w:val="auto"/>
        </w:rPr>
      </w:pPr>
    </w:p>
    <w:p>
      <w:pPr>
        <w:jc w:val="both"/>
        <w:ind w:right="60" w:firstLine="451"/>
        <w:spacing w:after="0" w:line="248" w:lineRule="auto"/>
        <w:tabs>
          <w:tab w:leader="none" w:pos="641"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intends to amend any terms of this Contract, it shall first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promptly notify the other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vote on such matter upon receipt of the notice. If the amendment proposed by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involves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Provider</w:t>
      </w:r>
      <w:r>
        <w:rPr>
          <w:rFonts w:ascii="Times New Roman" w:cs="Times New Roman" w:eastAsia="Times New Roman" w:hAnsi="Times New Roman"/>
          <w:sz w:val="19"/>
          <w:szCs w:val="19"/>
          <w:color w:val="auto"/>
        </w:rPr>
        <w: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also send a copy of the notice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Security Provider</w:t>
      </w:r>
      <w:r>
        <w:rPr>
          <w:rFonts w:ascii="Times New Roman" w:cs="Times New Roman" w:eastAsia="Times New Roman" w:hAnsi="Times New Roman"/>
          <w:sz w:val="19"/>
          <w:szCs w:val="19"/>
          <w:color w:val="auto"/>
        </w:rPr>
        <w:t>, and negotiate the amendment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contract terms with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on behalf of the Syndicate in accordance with the relevant provisions hereof.</w:t>
      </w:r>
    </w:p>
    <w:p>
      <w:pPr>
        <w:spacing w:after="0" w:line="176" w:lineRule="exact"/>
        <w:rPr>
          <w:rFonts w:ascii="Times New Roman" w:cs="Times New Roman" w:eastAsia="Times New Roman" w:hAnsi="Times New Roman"/>
          <w:sz w:val="19"/>
          <w:szCs w:val="19"/>
          <w:color w:val="auto"/>
        </w:rPr>
      </w:pPr>
    </w:p>
    <w:p>
      <w:pPr>
        <w:jc w:val="both"/>
        <w:ind w:right="40" w:firstLine="451"/>
        <w:spacing w:after="0" w:line="248" w:lineRule="auto"/>
        <w:tabs>
          <w:tab w:leader="none" w:pos="633"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respect of any amendment or waiver proposed by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determine whether such matter requires the consent of the </w:t>
      </w:r>
      <w:r>
        <w:rPr>
          <w:rFonts w:ascii="Times New Roman" w:cs="Times New Roman" w:eastAsia="Times New Roman" w:hAnsi="Times New Roman"/>
          <w:sz w:val="19"/>
          <w:szCs w:val="19"/>
          <w:b w:val="1"/>
          <w:bCs w:val="1"/>
          <w:u w:val="single" w:color="auto"/>
          <w:color w:val="auto"/>
        </w:rPr>
        <w:t>Majority Lenders</w:t>
      </w:r>
      <w:r>
        <w:rPr>
          <w:rFonts w:ascii="Times New Roman" w:cs="Times New Roman" w:eastAsia="Times New Roman" w:hAnsi="Times New Roman"/>
          <w:sz w:val="19"/>
          <w:szCs w:val="19"/>
          <w:color w:val="auto"/>
        </w:rPr>
        <w:t xml:space="preserve"> or all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in accordance with the relevant provisions hereof. If this Contract does not expressly provide therefor, or if there is a dispute between the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xml:space="preserve"> and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such matter shall be deemed to require the consent of the </w:t>
      </w:r>
      <w:r>
        <w:rPr>
          <w:rFonts w:ascii="Times New Roman" w:cs="Times New Roman" w:eastAsia="Times New Roman" w:hAnsi="Times New Roman"/>
          <w:sz w:val="19"/>
          <w:szCs w:val="19"/>
          <w:b w:val="1"/>
          <w:bCs w:val="1"/>
          <w:u w:val="single" w:color="auto"/>
          <w:color w:val="auto"/>
        </w:rPr>
        <w:t>Majority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right="40" w:firstLine="451"/>
        <w:spacing w:after="0" w:line="253" w:lineRule="auto"/>
        <w:tabs>
          <w:tab w:leader="none" w:pos="669"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receipt of an application for amendment or waiver from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or any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complete the voting procedure in accordance with Article 17.7 (</w:t>
      </w:r>
      <w:r>
        <w:rPr>
          <w:rFonts w:ascii="Times New Roman" w:cs="Times New Roman" w:eastAsia="Times New Roman" w:hAnsi="Times New Roman"/>
          <w:sz w:val="19"/>
          <w:szCs w:val="19"/>
          <w:i w:val="1"/>
          <w:iCs w:val="1"/>
          <w:color w:val="auto"/>
        </w:rPr>
        <w:t>Syndicate Meetings</w:t>
      </w:r>
      <w:r>
        <w:rPr>
          <w:rFonts w:ascii="Times New Roman" w:cs="Times New Roman" w:eastAsia="Times New Roman" w:hAnsi="Times New Roman"/>
          <w:sz w:val="19"/>
          <w:szCs w:val="19"/>
          <w:color w:val="auto"/>
        </w:rPr>
        <w:t xml:space="preserve">) hereof, and promptly notify each </w:t>
      </w:r>
      <w:r>
        <w:rPr>
          <w:rFonts w:ascii="Times New Roman" w:cs="Times New Roman" w:eastAsia="Times New Roman" w:hAnsi="Times New Roman"/>
          <w:sz w:val="19"/>
          <w:szCs w:val="19"/>
          <w:b w:val="1"/>
          <w:bCs w:val="1"/>
          <w:u w:val="single" w:color="auto"/>
          <w:color w:val="auto"/>
        </w:rPr>
        <w:t>Lender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the relevant </w:t>
      </w:r>
      <w:r>
        <w:rPr>
          <w:rFonts w:ascii="Times New Roman" w:cs="Times New Roman" w:eastAsia="Times New Roman" w:hAnsi="Times New Roman"/>
          <w:sz w:val="19"/>
          <w:szCs w:val="19"/>
          <w:b w:val="1"/>
          <w:bCs w:val="1"/>
          <w:u w:val="single" w:color="auto"/>
          <w:color w:val="auto"/>
        </w:rPr>
        <w:t>Security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Provider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final valid voting result.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22.2 Written Amendments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Any amendment to any provision of this Contract shall be made in writing and shall take effect upon execution by all Parties hereto.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22.3 Consent of the Agent</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Amendment of any provision involving any of the following matters shall require the consent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right="60" w:firstLine="451"/>
        <w:spacing w:after="0" w:line="270" w:lineRule="auto"/>
        <w:tabs>
          <w:tab w:leader="none" w:pos="65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VIII (</w:t>
      </w:r>
      <w:r>
        <w:rPr>
          <w:rFonts w:ascii="Times New Roman" w:cs="Times New Roman" w:eastAsia="Times New Roman" w:hAnsi="Times New Roman"/>
          <w:sz w:val="19"/>
          <w:szCs w:val="19"/>
          <w:i w:val="1"/>
          <w:iCs w:val="1"/>
          <w:color w:val="auto"/>
        </w:rPr>
        <w:t>Payment Provisions</w:t>
      </w:r>
      <w:r>
        <w:rPr>
          <w:rFonts w:ascii="Times New Roman" w:cs="Times New Roman" w:eastAsia="Times New Roman" w:hAnsi="Times New Roman"/>
          <w:sz w:val="19"/>
          <w:szCs w:val="19"/>
          <w:color w:val="auto"/>
        </w:rPr>
        <w:t>), Article XVII (</w:t>
      </w:r>
      <w:r>
        <w:rPr>
          <w:rFonts w:ascii="Times New Roman" w:cs="Times New Roman" w:eastAsia="Times New Roman" w:hAnsi="Times New Roman"/>
          <w:sz w:val="19"/>
          <w:szCs w:val="19"/>
          <w:i w:val="1"/>
          <w:iCs w:val="1"/>
          <w:color w:val="auto"/>
        </w:rPr>
        <w:t>Relationship among Syndicate Members</w:t>
      </w:r>
      <w:r>
        <w:rPr>
          <w:rFonts w:ascii="Times New Roman" w:cs="Times New Roman" w:eastAsia="Times New Roman" w:hAnsi="Times New Roman"/>
          <w:sz w:val="19"/>
          <w:szCs w:val="19"/>
          <w:color w:val="auto"/>
        </w:rPr>
        <w:t>) or Article XXII (</w:t>
      </w:r>
      <w:r>
        <w:rPr>
          <w:rFonts w:ascii="Times New Roman" w:cs="Times New Roman" w:eastAsia="Times New Roman" w:hAnsi="Times New Roman"/>
          <w:sz w:val="19"/>
          <w:szCs w:val="19"/>
          <w:i w:val="1"/>
          <w:iCs w:val="1"/>
          <w:color w:val="auto"/>
        </w:rPr>
        <w:t>Amendments and Waivers</w:t>
      </w:r>
      <w:r>
        <w:rPr>
          <w:rFonts w:ascii="Times New Roman" w:cs="Times New Roman" w:eastAsia="Times New Roman" w:hAnsi="Times New Roman"/>
          <w:sz w:val="19"/>
          <w:szCs w:val="19"/>
          <w:color w:val="auto"/>
        </w:rPr>
        <w:t>) hereof; and/or</w:t>
      </w:r>
    </w:p>
    <w:p>
      <w:pPr>
        <w:spacing w:after="0" w:line="156"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Amendment or waiver of any right of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hereunder, or imposition of any additional obligation on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XXIII. Notices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23.1 Notices through the Agent</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All communications between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and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in connection with this Contract shall be conducted through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23.2 Method of Notice</w:t>
      </w:r>
    </w:p>
    <w:p>
      <w:pPr>
        <w:spacing w:after="0" w:line="218" w:lineRule="exact"/>
        <w:rPr>
          <w:sz w:val="20"/>
          <w:szCs w:val="20"/>
          <w:color w:val="auto"/>
        </w:rPr>
      </w:pPr>
    </w:p>
    <w:p>
      <w:pPr>
        <w:jc w:val="both"/>
        <w:ind w:right="40" w:firstLine="443"/>
        <w:spacing w:after="0" w:line="246" w:lineRule="auto"/>
        <w:rPr>
          <w:sz w:val="20"/>
          <w:szCs w:val="20"/>
          <w:color w:val="auto"/>
        </w:rPr>
      </w:pPr>
      <w:r>
        <w:rPr>
          <w:rFonts w:ascii="Times New Roman" w:cs="Times New Roman" w:eastAsia="Times New Roman" w:hAnsi="Times New Roman"/>
          <w:sz w:val="19"/>
          <w:szCs w:val="19"/>
          <w:color w:val="auto"/>
        </w:rPr>
        <w:t>Any notice, request or other document sent by any Party hereto to any other Party shall be made in writing and sent to the contact address, telex number, fax number, e-mail address and marked attention of the contact person (if any) designated by the recipient from time to time in writing. The initial contact address, telex number, fax number, e-mail address and contact person (if any) designated by each Party are set forth on the signature pages hereof.</w:t>
      </w:r>
    </w:p>
    <w:p>
      <w:pPr>
        <w:spacing w:after="0" w:line="184" w:lineRule="exact"/>
        <w:rPr>
          <w:sz w:val="20"/>
          <w:szCs w:val="20"/>
          <w:color w:val="auto"/>
        </w:rPr>
      </w:pPr>
    </w:p>
    <w:p>
      <w:pPr>
        <w:jc w:val="both"/>
        <w:ind w:right="40" w:firstLine="443"/>
        <w:spacing w:after="0" w:line="265" w:lineRule="auto"/>
        <w:rPr>
          <w:sz w:val="20"/>
          <w:szCs w:val="20"/>
          <w:color w:val="auto"/>
        </w:rPr>
      </w:pPr>
      <w:r>
        <w:rPr>
          <w:rFonts w:ascii="Times New Roman" w:cs="Times New Roman" w:eastAsia="Times New Roman" w:hAnsi="Times New Roman"/>
          <w:sz w:val="19"/>
          <w:szCs w:val="19"/>
          <w:color w:val="auto"/>
        </w:rPr>
        <w:t>Each Party hereto hereby confirms that the contact information initially designated by it on the signature pages hereof or subsequently changed in accordance with this Contract shall be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 address for litigation or arbitration documents involved in any dispute hereunder, and shall bear the legal consequences arising therefrom.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23.3 Service of Notice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Notices between the Parties hereto shall be deemed effectively served on the recipient:</w:t>
      </w:r>
    </w:p>
    <w:p>
      <w:pPr>
        <w:spacing w:after="0" w:line="214" w:lineRule="exact"/>
        <w:rPr>
          <w:sz w:val="20"/>
          <w:szCs w:val="20"/>
          <w:color w:val="auto"/>
        </w:rPr>
      </w:pPr>
    </w:p>
    <w:p>
      <w:pPr>
        <w:ind w:left="720" w:hanging="269"/>
        <w:spacing w:after="0"/>
        <w:tabs>
          <w:tab w:leader="none" w:pos="72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time of actual delivery if delivered by hand;</w:t>
      </w:r>
    </w:p>
    <w:p>
      <w:pPr>
        <w:spacing w:after="0" w:line="213"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completion of transmission and receipt of a successful fax confirmation or report if transmitted by fax;</w:t>
      </w:r>
    </w:p>
    <w:p>
      <w:pPr>
        <w:spacing w:after="0" w:line="213" w:lineRule="exact"/>
        <w:rPr>
          <w:rFonts w:ascii="Times New Roman" w:cs="Times New Roman" w:eastAsia="Times New Roman" w:hAnsi="Times New Roman"/>
          <w:sz w:val="19"/>
          <w:szCs w:val="19"/>
          <w:color w:val="auto"/>
        </w:rPr>
      </w:pPr>
    </w:p>
    <w:p>
      <w:pPr>
        <w:ind w:right="60" w:firstLine="451"/>
        <w:spacing w:after="0" w:line="265" w:lineRule="auto"/>
        <w:tabs>
          <w:tab w:leader="none" w:pos="711"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12:00 (Beijing time) on the fifth (5th) Business Day after posting to the correct address if sent by post (a copy shall first be faxed to the recipient prior to posting);</w:t>
      </w:r>
    </w:p>
    <w:p>
      <w:pPr>
        <w:spacing w:after="0" w:line="165" w:lineRule="exact"/>
        <w:rPr>
          <w:rFonts w:ascii="Times New Roman" w:cs="Times New Roman" w:eastAsia="Times New Roman" w:hAnsi="Times New Roman"/>
          <w:sz w:val="19"/>
          <w:szCs w:val="19"/>
          <w:color w:val="auto"/>
        </w:rPr>
      </w:pPr>
    </w:p>
    <w:p>
      <w:pPr>
        <w:ind w:left="720" w:hanging="269"/>
        <w:spacing w:after="0"/>
        <w:tabs>
          <w:tab w:leader="none" w:pos="72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12:00 (Beijing time) on the fifth (5th) Business Day after sending to the correct e-mail address if sent by e-mail.</w:t>
      </w:r>
    </w:p>
    <w:p>
      <w:pPr>
        <w:spacing w:after="0" w:line="214" w:lineRule="exact"/>
        <w:rPr>
          <w:sz w:val="20"/>
          <w:szCs w:val="20"/>
          <w:color w:val="auto"/>
        </w:rPr>
      </w:pPr>
    </w:p>
    <w:p>
      <w:pPr>
        <w:jc w:val="both"/>
        <w:ind w:right="40" w:firstLine="443"/>
        <w:spacing w:after="0" w:line="265" w:lineRule="auto"/>
        <w:rPr>
          <w:sz w:val="20"/>
          <w:szCs w:val="20"/>
          <w:color w:val="auto"/>
        </w:rPr>
      </w:pPr>
      <w:r>
        <w:rPr>
          <w:rFonts w:ascii="Times New Roman" w:cs="Times New Roman" w:eastAsia="Times New Roman" w:hAnsi="Times New Roman"/>
          <w:sz w:val="19"/>
          <w:szCs w:val="19"/>
          <w:color w:val="auto"/>
        </w:rPr>
        <w:t>Save as otherwise provided in the preceding paragraph of this Article, any other document made or delivered by one Party to another shall only be deemed effectively served upon actual receipt by such other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23.4 Change of Address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If any Party hereto changes its contact address, telex number, fax number or e-mail address, it shall promptly notify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of such change. Upon receipt of such change notice, the </w:t>
      </w:r>
      <w:r>
        <w:rPr>
          <w:rFonts w:ascii="Times New Roman" w:cs="Times New Roman" w:eastAsia="Times New Roman" w:hAnsi="Times New Roman"/>
          <w:sz w:val="19"/>
          <w:szCs w:val="19"/>
          <w:b w:val="1"/>
          <w:bCs w:val="1"/>
          <w:u w:val="single" w:color="auto"/>
          <w:color w:val="auto"/>
        </w:rPr>
        <w:t>Agent</w:t>
      </w:r>
      <w:r>
        <w:rPr>
          <w:rFonts w:ascii="Times New Roman" w:cs="Times New Roman" w:eastAsia="Times New Roman" w:hAnsi="Times New Roman"/>
          <w:sz w:val="19"/>
          <w:szCs w:val="19"/>
          <w:color w:val="auto"/>
        </w:rPr>
        <w:t xml:space="preserve"> shall immediately notify the other Parties hereto. If the Agent changes the aforesaid information, it shall also promptly notify the other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23.5 Language of Notices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All notices hereunder shall be in the Chinese language.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XXIV. Evidence of Indebtedness</w:t>
      </w:r>
    </w:p>
    <w:p>
      <w:pPr>
        <w:spacing w:after="0" w:line="214" w:lineRule="exact"/>
        <w:rPr>
          <w:sz w:val="20"/>
          <w:szCs w:val="20"/>
          <w:color w:val="auto"/>
        </w:rPr>
      </w:pPr>
    </w:p>
    <w:p>
      <w:pPr>
        <w:jc w:val="both"/>
        <w:ind w:right="40" w:firstLine="443"/>
        <w:spacing w:after="0" w:line="253" w:lineRule="auto"/>
        <w:rPr>
          <w:sz w:val="20"/>
          <w:szCs w:val="20"/>
          <w:color w:val="auto"/>
        </w:rPr>
      </w:pPr>
      <w:r>
        <w:rPr>
          <w:rFonts w:ascii="Times New Roman" w:cs="Times New Roman" w:eastAsia="Times New Roman" w:hAnsi="Times New Roman"/>
          <w:sz w:val="19"/>
          <w:szCs w:val="19"/>
          <w:color w:val="auto"/>
        </w:rPr>
        <w:t xml:space="preserve">Each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shall keep accounting entries and records in connection with this Contract in its accounting books in accordance with its general business practice. The Indebtedness of 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to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hereunder shall be as recorded in the accounting vouchers issued by the </w:t>
      </w:r>
      <w:r>
        <w:rPr>
          <w:rFonts w:ascii="Times New Roman" w:cs="Times New Roman" w:eastAsia="Times New Roman" w:hAnsi="Times New Roman"/>
          <w:sz w:val="19"/>
          <w:szCs w:val="19"/>
          <w:b w:val="1"/>
          <w:bCs w:val="1"/>
          <w:u w:val="single" w:color="auto"/>
          <w:color w:val="auto"/>
        </w:rPr>
        <w:t>Syndicate Members</w:t>
      </w:r>
      <w:r>
        <w:rPr>
          <w:rFonts w:ascii="Times New Roman" w:cs="Times New Roman" w:eastAsia="Times New Roman" w:hAnsi="Times New Roman"/>
          <w:sz w:val="19"/>
          <w:szCs w:val="19"/>
          <w:color w:val="auto"/>
        </w:rPr>
        <w:t xml:space="preserve"> in accordance with their general business practice (in the absence of manifest errors).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XXV. Cumulative Rights and Severability of Provisions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25.1 Cumulative Rights</w:t>
      </w:r>
    </w:p>
    <w:p>
      <w:pPr>
        <w:spacing w:after="0" w:line="214" w:lineRule="exact"/>
        <w:rPr>
          <w:sz w:val="20"/>
          <w:szCs w:val="20"/>
          <w:color w:val="auto"/>
        </w:rPr>
      </w:pPr>
    </w:p>
    <w:p>
      <w:pPr>
        <w:jc w:val="both"/>
        <w:ind w:right="40" w:firstLine="443"/>
        <w:spacing w:after="0" w:line="248" w:lineRule="auto"/>
        <w:rPr>
          <w:sz w:val="20"/>
          <w:szCs w:val="20"/>
          <w:color w:val="auto"/>
        </w:rPr>
      </w:pPr>
      <w:r>
        <w:rPr>
          <w:rFonts w:ascii="Times New Roman" w:cs="Times New Roman" w:eastAsia="Times New Roman" w:hAnsi="Times New Roman"/>
          <w:sz w:val="19"/>
          <w:szCs w:val="19"/>
          <w:color w:val="auto"/>
        </w:rPr>
        <w:t xml:space="preserve">No failure or delay on the part of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to exercise any right hereunder shall constitute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's waiver of such right. No single or partial exercise of any such right by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shall preclude such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from exercising the same or any other right further or in the future. The rights and remedies provided hereunder are cumulative and shall not prejudice any other rights or remedies conferred on any </w:t>
      </w:r>
      <w:r>
        <w:rPr>
          <w:rFonts w:ascii="Times New Roman" w:cs="Times New Roman" w:eastAsia="Times New Roman" w:hAnsi="Times New Roman"/>
          <w:sz w:val="19"/>
          <w:szCs w:val="19"/>
          <w:b w:val="1"/>
          <w:bCs w:val="1"/>
          <w:u w:val="single" w:color="auto"/>
          <w:color w:val="auto"/>
        </w:rPr>
        <w:t>Syndicate Member</w:t>
      </w:r>
      <w:r>
        <w:rPr>
          <w:rFonts w:ascii="Times New Roman" w:cs="Times New Roman" w:eastAsia="Times New Roman" w:hAnsi="Times New Roman"/>
          <w:sz w:val="19"/>
          <w:szCs w:val="19"/>
          <w:color w:val="auto"/>
        </w:rPr>
        <w:t xml:space="preserve"> by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-441960</wp:posOffset>
            </wp:positionV>
            <wp:extent cx="3873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0">
                      <a:extLst>
                        <a:ext uri="{28A0092B-C50C-407E-A947-70E740481C1C}"/>
                      </a:extLst>
                    </a:blip>
                    <a:srcRect/>
                    <a:stretch>
                      <a:fillRect/>
                    </a:stretch>
                  </pic:blipFill>
                  <pic:spPr bwMode="auto">
                    <a:xfrm>
                      <a:off x="0" y="0"/>
                      <a:ext cx="3873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25.2 Severability of Provisions</w:t>
      </w:r>
    </w:p>
    <w:p>
      <w:pPr>
        <w:spacing w:after="0" w:line="218" w:lineRule="exact"/>
        <w:rPr>
          <w:sz w:val="20"/>
          <w:szCs w:val="20"/>
          <w:color w:val="auto"/>
        </w:rPr>
      </w:pPr>
    </w:p>
    <w:p>
      <w:pPr>
        <w:jc w:val="both"/>
        <w:ind w:right="60" w:firstLine="443"/>
        <w:spacing w:after="0" w:line="265" w:lineRule="auto"/>
        <w:rPr>
          <w:sz w:val="20"/>
          <w:szCs w:val="20"/>
          <w:color w:val="auto"/>
        </w:rPr>
      </w:pPr>
      <w:r>
        <w:rPr>
          <w:rFonts w:ascii="Times New Roman" w:cs="Times New Roman" w:eastAsia="Times New Roman" w:hAnsi="Times New Roman"/>
          <w:sz w:val="19"/>
          <w:szCs w:val="19"/>
          <w:color w:val="auto"/>
        </w:rPr>
        <w:t>If any provision of this Contract becomes illegal, invalid or unenforceable at any time, the legality, validity or enforceability of the other provisions of this Contract shall not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XXVI. Contract Text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26.1 Language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This Contract is drafted and executed in Chinese.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26.2 Original Executions</w:t>
      </w:r>
    </w:p>
    <w:p>
      <w:pPr>
        <w:spacing w:after="0" w:line="218" w:lineRule="exact"/>
        <w:rPr>
          <w:sz w:val="20"/>
          <w:szCs w:val="20"/>
          <w:color w:val="auto"/>
        </w:rPr>
      </w:pPr>
    </w:p>
    <w:p>
      <w:pPr>
        <w:jc w:val="both"/>
        <w:ind w:right="60" w:firstLine="443"/>
        <w:spacing w:after="0" w:line="265" w:lineRule="auto"/>
        <w:rPr>
          <w:sz w:val="20"/>
          <w:szCs w:val="20"/>
          <w:color w:val="auto"/>
        </w:rPr>
      </w:pPr>
      <w:r>
        <w:rPr>
          <w:rFonts w:ascii="Times New Roman" w:cs="Times New Roman" w:eastAsia="Times New Roman" w:hAnsi="Times New Roman"/>
          <w:sz w:val="19"/>
          <w:szCs w:val="19"/>
          <w:color w:val="auto"/>
        </w:rPr>
        <w:t>This Contract is made in [Six (6)] original counterparts, with the Arranger, the Co-Arranger, Agent, each Lender and the Borrower each holding [Two (2)] counterparts. Each counterpart shall have the same legal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XXVII. Governing Law and Dispute Resolution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27.1 Governing Law</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 xml:space="preserve">This Contract shall be governed by and construed in accordance with the laws of the People’s Republic of </w:t>
      </w:r>
      <w:r>
        <w:rPr>
          <w:rFonts w:ascii="Times New Roman" w:cs="Times New Roman" w:eastAsia="Times New Roman" w:hAnsi="Times New Roman"/>
          <w:sz w:val="19"/>
          <w:szCs w:val="19"/>
          <w:b w:val="1"/>
          <w:bCs w:val="1"/>
          <w:u w:val="single" w:color="auto"/>
          <w:color w:val="auto"/>
        </w:rPr>
        <w:t>China</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27.2 Dispute Resolution</w:t>
      </w:r>
    </w:p>
    <w:p>
      <w:pPr>
        <w:spacing w:after="0" w:line="218" w:lineRule="exact"/>
        <w:rPr>
          <w:sz w:val="20"/>
          <w:szCs w:val="20"/>
          <w:color w:val="auto"/>
        </w:rPr>
      </w:pPr>
    </w:p>
    <w:p>
      <w:pPr>
        <w:jc w:val="both"/>
        <w:ind w:right="60" w:firstLine="443"/>
        <w:spacing w:after="0" w:line="251" w:lineRule="auto"/>
        <w:rPr>
          <w:sz w:val="20"/>
          <w:szCs w:val="20"/>
          <w:color w:val="auto"/>
        </w:rPr>
      </w:pPr>
      <w:r>
        <w:rPr>
          <w:rFonts w:ascii="Times New Roman" w:cs="Times New Roman" w:eastAsia="Times New Roman" w:hAnsi="Times New Roman"/>
          <w:sz w:val="19"/>
          <w:szCs w:val="19"/>
          <w:color w:val="auto"/>
        </w:rPr>
        <w:t>In the event of any dispute arising out of or in connection with this Contract, upon receipt of a written notice of such dispute from any Party, all Parties shall endeavor to resolve such dispute through friendly consultation within fifteen (15) days. If such dispute cannot be resolved through friendly consultation within such period, any Party shall have the right to choose to resolve such dispute by means set out in Item [2] below:</w:t>
      </w:r>
    </w:p>
    <w:p>
      <w:pPr>
        <w:spacing w:after="0" w:line="179" w:lineRule="exact"/>
        <w:rPr>
          <w:sz w:val="20"/>
          <w:szCs w:val="20"/>
          <w:color w:val="auto"/>
        </w:rPr>
      </w:pPr>
    </w:p>
    <w:p>
      <w:pPr>
        <w:ind w:right="60" w:firstLine="451"/>
        <w:spacing w:after="0" w:line="265" w:lineRule="auto"/>
        <w:tabs>
          <w:tab w:leader="none" w:pos="64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submit such dispute to the [/] Arbitration Commission for arbitration in [/] in accordance with its current arbitration rules. The arbitral award shall be final and binding on all Parties to the dispute;</w:t>
      </w:r>
    </w:p>
    <w:p>
      <w:pPr>
        <w:spacing w:after="0" w:line="165" w:lineRule="exact"/>
        <w:rPr>
          <w:rFonts w:ascii="Times New Roman" w:cs="Times New Roman" w:eastAsia="Times New Roman" w:hAnsi="Times New Roman"/>
          <w:sz w:val="19"/>
          <w:szCs w:val="19"/>
          <w:color w:val="auto"/>
        </w:rPr>
      </w:pPr>
    </w:p>
    <w:p>
      <w:pPr>
        <w:ind w:left="640" w:hanging="189"/>
        <w:spacing w:after="0"/>
        <w:tabs>
          <w:tab w:leader="none" w:pos="640"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submit such dispute to the People’s Court located at the place where the [Agent] is situated for resolution through litigation.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27.3 Waiver of Immunity</w:t>
      </w:r>
    </w:p>
    <w:p>
      <w:pPr>
        <w:spacing w:after="0" w:line="214" w:lineRule="exact"/>
        <w:rPr>
          <w:sz w:val="20"/>
          <w:szCs w:val="20"/>
          <w:color w:val="auto"/>
        </w:rPr>
      </w:pPr>
    </w:p>
    <w:p>
      <w:pPr>
        <w:jc w:val="both"/>
        <w:ind w:right="60" w:firstLine="443"/>
        <w:spacing w:after="0" w:line="270" w:lineRule="auto"/>
        <w:rPr>
          <w:sz w:val="20"/>
          <w:szCs w:val="20"/>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b w:val="1"/>
          <w:bCs w:val="1"/>
          <w:u w:val="single" w:color="auto"/>
          <w:color w:val="auto"/>
        </w:rPr>
        <w:t>Borrower</w:t>
      </w:r>
      <w:r>
        <w:rPr>
          <w:rFonts w:ascii="Times New Roman" w:cs="Times New Roman" w:eastAsia="Times New Roman" w:hAnsi="Times New Roman"/>
          <w:sz w:val="19"/>
          <w:szCs w:val="19"/>
          <w:color w:val="auto"/>
        </w:rPr>
        <w:t xml:space="preserve"> hereby irrevocably waives any immunity to which it or its assets may be entitled in any jurisdiction in any litigation or judicial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XXVIII. Effectiveness</w:t>
      </w:r>
    </w:p>
    <w:p>
      <w:pPr>
        <w:spacing w:after="0" w:line="218" w:lineRule="exact"/>
        <w:rPr>
          <w:sz w:val="20"/>
          <w:szCs w:val="20"/>
          <w:color w:val="auto"/>
        </w:rPr>
      </w:pPr>
    </w:p>
    <w:p>
      <w:pPr>
        <w:jc w:val="both"/>
        <w:ind w:right="40" w:firstLine="443"/>
        <w:spacing w:after="0" w:line="246" w:lineRule="auto"/>
        <w:rPr>
          <w:sz w:val="20"/>
          <w:szCs w:val="20"/>
          <w:color w:val="auto"/>
        </w:rPr>
      </w:pPr>
      <w:r>
        <w:rPr>
          <w:rFonts w:ascii="Times New Roman" w:cs="Times New Roman" w:eastAsia="Times New Roman" w:hAnsi="Times New Roman"/>
          <w:sz w:val="19"/>
          <w:szCs w:val="19"/>
          <w:color w:val="auto"/>
        </w:rPr>
        <w:t>28.1 The Parties hereby unanimously agree that [Redacted] may execute this Contract by means of electronic signature or physical seal, and all other Parties shall execute this Contract by means of physical seal. The electronic signature and the physical seal of [Redacted] shall have the same legal effect. All other Parties acknowledge the validity and evidential effect of the relevant data messages formed by [Redacted] executing this Contract by electronic signature (including but not limited to electronic contracts generated and retained in [Redacted]).</w:t>
      </w:r>
    </w:p>
    <w:p>
      <w:pPr>
        <w:spacing w:after="0" w:line="180" w:lineRule="exact"/>
        <w:rPr>
          <w:sz w:val="20"/>
          <w:szCs w:val="20"/>
          <w:color w:val="auto"/>
        </w:rPr>
      </w:pPr>
    </w:p>
    <w:p>
      <w:pPr>
        <w:jc w:val="both"/>
        <w:ind w:right="40" w:firstLine="443"/>
        <w:spacing w:after="0" w:line="243" w:lineRule="auto"/>
        <w:rPr>
          <w:sz w:val="20"/>
          <w:szCs w:val="20"/>
          <w:color w:val="auto"/>
        </w:rPr>
      </w:pPr>
      <w:r>
        <w:rPr>
          <w:rFonts w:ascii="Times New Roman" w:cs="Times New Roman" w:eastAsia="Times New Roman" w:hAnsi="Times New Roman"/>
          <w:sz w:val="19"/>
          <w:szCs w:val="19"/>
          <w:color w:val="auto"/>
        </w:rPr>
        <w:t>28.2 If [Redacted] executes this Contract by electronic signature, this Contract shall take effect on the date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on which the electronic signature of [Redacted] is printed on this Contract, and each other Party signs or affixes a personal seal by its legal representative (responsible person) or authorized representative and affixes its official seal or special contract seal. </w:t>
      </w:r>
      <w:r>
        <w:rPr>
          <w:rFonts w:ascii="Times New Roman" w:cs="Times New Roman" w:eastAsia="Times New Roman" w:hAnsi="Times New Roman"/>
          <w:sz w:val="19"/>
          <w:szCs w:val="19"/>
          <w:b w:val="1"/>
          <w:bCs w:val="1"/>
          <w:color w:val="auto"/>
        </w:rPr>
        <w:t>The other Parties may verify the relevant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information of this Contract by logging on to the official website of [Redacted] or other channels confirmed and announced by [Redacted]. If the other Parties have any questions, they may consult the business outlets of [Redacted] or call the customer service hotline of [Redacted]. </w:t>
      </w:r>
      <w:r>
        <w:rPr>
          <w:rFonts w:ascii="Times New Roman" w:cs="Times New Roman" w:eastAsia="Times New Roman" w:hAnsi="Times New Roman"/>
          <w:sz w:val="19"/>
          <w:szCs w:val="19"/>
          <w:color w:val="auto"/>
        </w:rPr>
        <w:t>If [Redacted] executes this Contract by physical seal, this Contract shall take effect on the date on which the legal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86"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9"/>
          <w:szCs w:val="19"/>
          <w:color w:val="auto"/>
        </w:rPr>
        <w:t>representative (responsible person) or authorized agent of [Redacted] signs or affixes a personal seal and [Redacted] affixes its official seal or special contract seal, and the legal representative (responsible person) or authorized representative of each other Party signs or affixes a personal seal and such other Party affixes its official seal or special contract seal.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XXIX. Other Agreements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1: Original Commitments of Lenders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2: Form of Document Confirmation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3: Form of Transfer Certificate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4: Accounts of the Parties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5: Basic Information of the M&amp;A Transaction and the M&amp;A Loan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6: Form of Drawdown Notice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7: Repayment Schedule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8: Form of Participation Notice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Schedule 9: Form of Prepayment Notice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Signature Page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0"/>
          <w:szCs w:val="20"/>
          <w:b w:val="1"/>
          <w:bCs w:val="1"/>
          <w:color w:val="auto"/>
        </w:rPr>
        <w:t>Exhibit 8.1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AND CONSOLIDATED VARIABLE INTEREST ENTITIES OF</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JIAYIN GROUP INC.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Place of</w:t>
            </w:r>
          </w:p>
        </w:tc>
      </w:tr>
      <w:tr>
        <w:trPr>
          <w:trHeight w:val="216"/>
        </w:trPr>
        <w:tc>
          <w:tcPr>
            <w:tcW w:w="7720" w:type="dxa"/>
            <w:vAlign w:val="bottom"/>
          </w:tcPr>
          <w:p>
            <w:pPr>
              <w:spacing w:after="0"/>
              <w:rPr>
                <w:sz w:val="18"/>
                <w:szCs w:val="18"/>
                <w:color w:val="auto"/>
              </w:rPr>
            </w:pPr>
          </w:p>
        </w:tc>
        <w:tc>
          <w:tcPr>
            <w:tcW w:w="35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incorporation/</w:t>
            </w:r>
          </w:p>
        </w:tc>
      </w:tr>
      <w:tr>
        <w:trPr>
          <w:trHeight w:val="234"/>
        </w:trPr>
        <w:tc>
          <w:tcPr>
            <w:tcW w:w="7720" w:type="dxa"/>
            <w:vAlign w:val="bottom"/>
          </w:tcPr>
          <w:p>
            <w:pPr>
              <w:spacing w:after="0"/>
              <w:rPr>
                <w:sz w:val="20"/>
                <w:szCs w:val="20"/>
                <w:color w:val="auto"/>
              </w:rPr>
            </w:pP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establishment</w:t>
            </w: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tc>
        <w:tc>
          <w:tcPr>
            <w:tcW w:w="3520" w:type="dxa"/>
            <w:vAlign w:val="bottom"/>
          </w:tcPr>
          <w:p>
            <w:pPr>
              <w:spacing w:after="0"/>
              <w:rPr>
                <w:sz w:val="23"/>
                <w:szCs w:val="23"/>
                <w:color w:val="auto"/>
              </w:rPr>
            </w:pP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Jiayin Holdings Limited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BVI</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Geerong (HK) Limited (formerly known as “Jiayin (HK) Limited”)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Jiayin Southeast Asia Holdings Limited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BVI</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Kunjia Technology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Geerong Yunke Information Technology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Jiangxi Yunkaijianming Technology Co., Ltd.</w:t>
            </w:r>
          </w:p>
        </w:tc>
        <w:tc>
          <w:tcPr>
            <w:tcW w:w="3520" w:type="dxa"/>
            <w:vAlign w:val="bottom"/>
          </w:tcPr>
          <w:p>
            <w:pPr>
              <w:spacing w:after="0"/>
              <w:rPr>
                <w:sz w:val="21"/>
                <w:szCs w:val="21"/>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(formerly known as “Geerong Yun (Shanghai) Technology Development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Jiangxi</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Chuangzhen Software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Jirongzhicheng Enterprise Development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Hainan Yinke Financing Guarantee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Hainan</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Jiazhen Software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52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VIE and VIE's subsidiaries</w:t>
            </w:r>
          </w:p>
        </w:tc>
        <w:tc>
          <w:tcPr>
            <w:tcW w:w="3520" w:type="dxa"/>
            <w:vAlign w:val="bottom"/>
          </w:tcPr>
          <w:p>
            <w:pPr>
              <w:spacing w:after="0"/>
              <w:rPr>
                <w:sz w:val="24"/>
                <w:szCs w:val="24"/>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Jiayin Technology Co., Ltd.</w:t>
            </w:r>
          </w:p>
        </w:tc>
        <w:tc>
          <w:tcPr>
            <w:tcW w:w="3520" w:type="dxa"/>
            <w:vAlign w:val="bottom"/>
          </w:tcPr>
          <w:p>
            <w:pPr>
              <w:spacing w:after="0"/>
              <w:rPr>
                <w:sz w:val="18"/>
                <w:szCs w:val="18"/>
                <w:color w:val="auto"/>
              </w:rPr>
            </w:pPr>
          </w:p>
        </w:tc>
      </w:tr>
      <w:tr>
        <w:trPr>
          <w:trHeight w:val="216"/>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(formerly known as "Shanghai Jiayin Finance Technology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Shanghai Jiajie Internet Information Services Co., Ltd.</w:t>
            </w:r>
          </w:p>
        </w:tc>
        <w:tc>
          <w:tcPr>
            <w:tcW w:w="35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(formerly known as “Shanghai Jiajie Finance Information Services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Jiayin Shuke Information Technology Co., Ltd.</w:t>
            </w:r>
          </w:p>
        </w:tc>
        <w:tc>
          <w:tcPr>
            <w:tcW w:w="35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Shanghai</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Guangxi Chuangzhen Information Technology Co., Ltd.</w:t>
            </w:r>
          </w:p>
        </w:tc>
        <w:tc>
          <w:tcPr>
            <w:tcW w:w="35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Guangxi</w:t>
            </w:r>
          </w:p>
        </w:tc>
      </w:tr>
      <w:tr>
        <w:trPr>
          <w:trHeight w:val="1627"/>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2"/>
          <w:szCs w:val="22"/>
          <w:b w:val="1"/>
          <w:bCs w:val="1"/>
          <w:color w:val="auto"/>
        </w:rPr>
        <w:t>Exhibit 11.2</w:t>
      </w: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JIAYIN GROUP INC.</w:t>
      </w:r>
    </w:p>
    <w:p>
      <w:pPr>
        <w:spacing w:after="0" w:line="2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STATEMENT OF POLICIES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GOVERNING MATERIAL, NON-PUBLIC INFORMATION, , TRADING IN COMPANY SECURITIES BY</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INSIDERS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PREVENTION OF INSIDER TRADING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Adopted by the Board of Directors of the Company on March 17, 2026</w:t>
      </w:r>
    </w:p>
    <w:p>
      <w:pPr>
        <w:spacing w:after="0" w:line="21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This Statement of Policies Governing Material, Non-Public Information, Trading in Company Securities by Insiders and the Prevention of Insider Trading (this “Statement”) of the Company consists of threefivesections: Section I provides an overview; Section II sets forth the Company’s policies prohibiting insider trading; and Section III explains insider trading.; Section IV describes the rules and guidelines for transactions under Rule 10b5-1 plans; and Section V sets forth the additional requirements for Section 16 Insiders.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The Company’s American depositary shares (the “</w:t>
      </w:r>
      <w:r>
        <w:rPr>
          <w:rFonts w:ascii="Times New Roman" w:cs="Times New Roman" w:eastAsia="Times New Roman" w:hAnsi="Times New Roman"/>
          <w:sz w:val="22"/>
          <w:szCs w:val="22"/>
          <w:u w:val="single" w:color="auto"/>
          <w:color w:val="auto"/>
        </w:rPr>
        <w:t>ADSs</w:t>
      </w:r>
      <w:r>
        <w:rPr>
          <w:rFonts w:ascii="Times New Roman" w:cs="Times New Roman" w:eastAsia="Times New Roman" w:hAnsi="Times New Roman"/>
          <w:sz w:val="22"/>
          <w:szCs w:val="22"/>
          <w:color w:val="auto"/>
        </w:rPr>
        <w:t>”) representing the Class A ordinary shares are currently trading on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Pursuant to United States securities laws, it is illegal for any person, either personally or on behalf of others, to trade in securities on the basis of “material”, “non-public” information (defined below). It is also illegal to communicate (i.e., to “tip”) material, non-public information to others so that they may trade in securities on the basis of that information. These illegal activities are commonly referred to as “insider trading.” Preventing insider trading is necessary to comply with the United States federal securities laws and to preserve the reputation and integrity of the Company as well as that of all persons affiliated with it.</w:t>
      </w:r>
    </w:p>
    <w:p>
      <w:pPr>
        <w:spacing w:after="0" w:line="183"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The Company considers strict compliance with the policies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set forth in this Statement to be a matter of utmost importance. Violation of this Policy could cause extreme embarrassment and possible legal liability to you and the Company. Knowing or willful violations of this Statement or its spirit will be grounds for immediate dismissal from the Company. Violation of the Policy might expose the violator to severe criminal penalties and civil liabilities. Penalties for insider trading violations include civil fines of up to three times the profit realized by the violator, criminal fines of up to $5 million and civil liability to those damaged by the trading, as well as the attorney’s fees of persons injured.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0" w:name="page271"/>
    <w:bookmarkEnd w:id="270"/>
    <w:p>
      <w:pPr>
        <w:ind w:firstLine="749"/>
        <w:spacing w:after="0" w:line="234" w:lineRule="auto"/>
        <w:rPr>
          <w:sz w:val="20"/>
          <w:szCs w:val="20"/>
          <w:color w:val="auto"/>
        </w:rPr>
      </w:pPr>
      <w:r>
        <w:rPr>
          <w:rFonts w:ascii="Times New Roman" w:cs="Times New Roman" w:eastAsia="Times New Roman" w:hAnsi="Times New Roman"/>
          <w:sz w:val="22"/>
          <w:szCs w:val="22"/>
          <w:color w:val="auto"/>
        </w:rPr>
        <w:t>While the regulatory authorities concentrate their efforts on the individuals who trade or who tip inside information to others who trade, the U.S. federal securities laws also impose potential liability on companies and other “controlling persons” if they fail to take reasonable steps to prevent insider trading by the violator. “Controlling persons”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179"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This Statement applies to all officers, directors, employees and advisors (e.g., accountants, attorneys, investment bankers and consultants) of the Company and its subsidiaries or any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 xml:space="preserve"> ”). Every Insider must review this Statement, and execute and return the Certificate of Compliance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to the Compliance Officer, or confirm receipt of and future adherence to this Statement by other reasonable means, within seven (7) days or such longer period as permitted by the Company after you receive this Statement.</w:t>
      </w:r>
    </w:p>
    <w:p>
      <w:pPr>
        <w:spacing w:after="0" w:line="183"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The failure of any Insider to comply with this Policy may subject him or her to sanctions by the Company, including dismissal for cause, whether or not the failure to comply results in a violation of law. The matters set forth in this Policy are guidelines only and are not intended to replace your responsibility to understand and comply with the legal prohibition on insider trading. Appropriate judgment should be exercised in connection with all securities trading.</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Questions regarding the Statement should be directed to the Compliance Officer.</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1" w:name="page272"/>
    <w:bookmarkEnd w:id="271"/>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POLICIES PROHIBITING INSIDER TRADING</w:t>
      </w:r>
    </w:p>
    <w:p>
      <w:pPr>
        <w:spacing w:after="0" w:line="210"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For purposes of this Statement, while the terms “purchase” and “sell” of securities exclude the acceptance of options granted by the Company thereof and the exercise of options that does not involve the sale of securities, the cashless exercise of options does involve the sale of securities and therefore is subject to the policies set forth below.</w:t>
      </w:r>
    </w:p>
    <w:p>
      <w:pPr>
        <w:spacing w:after="0" w:line="167" w:lineRule="exact"/>
        <w:rPr>
          <w:sz w:val="20"/>
          <w:szCs w:val="20"/>
          <w:color w:val="auto"/>
        </w:rPr>
      </w:pPr>
    </w:p>
    <w:p>
      <w:pPr>
        <w:ind w:firstLine="757"/>
        <w:spacing w:after="0" w:line="247" w:lineRule="auto"/>
        <w:tabs>
          <w:tab w:leader="none" w:pos="1181"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Trading with Material Insider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 Insider shall purchase or sell any securities of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while in possession of material, non-public information relating to the Company, its ADSs or other securities (the “</w:t>
      </w:r>
      <w:r>
        <w:rPr>
          <w:rFonts w:ascii="Times New Roman" w:cs="Times New Roman" w:eastAsia="Times New Roman" w:hAnsi="Times New Roman"/>
          <w:sz w:val="22"/>
          <w:szCs w:val="22"/>
          <w:b w:val="1"/>
          <w:bCs w:val="1"/>
          <w:u w:val="single" w:color="auto"/>
          <w:color w:val="auto"/>
        </w:rPr>
        <w:t>Material Insider Information</w:t>
      </w:r>
      <w:r>
        <w:rPr>
          <w:rFonts w:ascii="Times New Roman" w:cs="Times New Roman" w:eastAsia="Times New Roman" w:hAnsi="Times New Roman"/>
          <w:sz w:val="22"/>
          <w:szCs w:val="22"/>
          <w:b w:val="1"/>
          <w:bCs w:val="1"/>
          <w:color w:val="auto"/>
        </w:rPr>
        <w:t>”) or during certain periods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If you possess Material Insider Information, you must wait for the later of (i) forty eight (48) hours after public disclosure of the Material Insider Information by the Company, or (ii) one full Trading Day on Nasdaq following such public disclosure before trading the Company’s ADSs or other securities. The term “</w:t>
      </w:r>
      <w:r>
        <w:rPr>
          <w:rFonts w:ascii="Times New Roman" w:cs="Times New Roman" w:eastAsia="Times New Roman" w:hAnsi="Times New Roman"/>
          <w:sz w:val="21"/>
          <w:szCs w:val="21"/>
          <w:u w:val="single" w:color="auto"/>
          <w:color w:val="auto"/>
        </w:rPr>
        <w:t>Trading Day</w:t>
      </w:r>
      <w:r>
        <w:rPr>
          <w:rFonts w:ascii="Times New Roman" w:cs="Times New Roman" w:eastAsia="Times New Roman" w:hAnsi="Times New Roman"/>
          <w:sz w:val="21"/>
          <w:szCs w:val="21"/>
          <w:color w:val="auto"/>
        </w:rPr>
        <w:t>” is defined as a day on which Nasdaq is open for trading. Nasdaq’s regular trading hours are from 9:30 a.m. to 4:00 p.m., New York City time, Monday through Friday.</w:t>
      </w:r>
    </w:p>
    <w:p>
      <w:pPr>
        <w:spacing w:after="0" w:line="162"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In addition, no Insider shall purchase or sell any securities of the Company, regardless of whether such Insider possesses any Material Insider Information, (1) during any period commencing at the close of trading on the last day of the last month of each fiscal quarter and ending at the close of trading on the second Trading Day following the date upon which the Company’s earnings statement for that fiscal quarter is released to the public; or (2) without the prior clearance by the Compliance Officer, during any period designated as a “</w:t>
      </w:r>
      <w:r>
        <w:rPr>
          <w:rFonts w:ascii="Times New Roman" w:cs="Times New Roman" w:eastAsia="Times New Roman" w:hAnsi="Times New Roman"/>
          <w:sz w:val="22"/>
          <w:szCs w:val="22"/>
          <w:u w:val="single" w:color="auto"/>
          <w:color w:val="auto"/>
        </w:rPr>
        <w:t>limited trading period</w:t>
      </w:r>
      <w:r>
        <w:rPr>
          <w:rFonts w:ascii="Times New Roman" w:cs="Times New Roman" w:eastAsia="Times New Roman" w:hAnsi="Times New Roman"/>
          <w:sz w:val="22"/>
          <w:szCs w:val="22"/>
          <w:color w:val="auto"/>
        </w:rPr>
        <w:t>.” The Compliance Officer may declare limited trading periods at the times that he deems appropriate, and need not provide any reason for making a declaration. If the Compliance Officer declares a limited trading period, a member of the Legal Department will notify the persons affected by the blackout as to when the blackout period begins and when it ends. The existence of a limited trading period may not be announced other than to those who are aware of the event giving rise to the blackout period. As long as the event remains material and non-public, no person aware of the event or notified of the event-specific blackout period may trade in the Company’s securities. Any person made aware of the existence of a limited trading period should not disclose the existence of the blackout period to any other person. The failure of the Compliance Officer to designate a person as being subject to a limited blackout period will not relieve that person of the obligation not to trade while aware of Material Insider Information.</w:t>
      </w:r>
    </w:p>
    <w:p>
      <w:pPr>
        <w:spacing w:after="0" w:line="182"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Furthermore, beginning from the close of trading on December 31 of each fiscal year, no Insider shall purchase or sell any security of the Company until the close of trading on the second Trading Day following the date of the Company’s release of its financial results for the fiscal year ended on December 31 of the prior year.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28" w:lineRule="exact"/>
        <w:rPr>
          <w:sz w:val="20"/>
          <w:szCs w:val="20"/>
          <w:color w:val="auto"/>
        </w:rPr>
      </w:pPr>
    </w:p>
    <w:p>
      <w:pPr>
        <w:ind w:right="80" w:firstLine="747"/>
        <w:spacing w:after="0" w:line="238" w:lineRule="auto"/>
        <w:rPr>
          <w:sz w:val="20"/>
          <w:szCs w:val="20"/>
          <w:color w:val="auto"/>
        </w:rPr>
      </w:pPr>
      <w:r>
        <w:rPr>
          <w:rFonts w:ascii="Times New Roman" w:cs="Times New Roman" w:eastAsia="Times New Roman" w:hAnsi="Times New Roman"/>
          <w:sz w:val="22"/>
          <w:szCs w:val="22"/>
          <w:color w:val="auto"/>
        </w:rPr>
        <w:t>In order to assist Company directors, officers and other employees in complying with this Policy, the Company will deliver an e-mail (or other communication) notifying all directors, officers and employees subject to the quarterly blackout period when the quarterly blackout period will begin and when it ends. The Company’s delivery or non-delivery of these e-mails (or other communication) does not relieve any persons from their obligation to only trade in the Company’s securities in full compliance with this Policy.</w:t>
      </w:r>
    </w:p>
    <w:p>
      <w:pPr>
        <w:spacing w:after="0" w:line="204" w:lineRule="exact"/>
        <w:rPr>
          <w:sz w:val="20"/>
          <w:szCs w:val="20"/>
          <w:color w:val="auto"/>
        </w:rPr>
      </w:pPr>
    </w:p>
    <w:p>
      <w:pPr>
        <w:ind w:right="80" w:firstLine="747"/>
        <w:spacing w:after="0" w:line="236" w:lineRule="auto"/>
        <w:rPr>
          <w:sz w:val="20"/>
          <w:szCs w:val="20"/>
          <w:color w:val="auto"/>
        </w:rPr>
      </w:pPr>
      <w:r>
        <w:rPr>
          <w:rFonts w:ascii="Times New Roman" w:cs="Times New Roman" w:eastAsia="Times New Roman" w:hAnsi="Times New Roman"/>
          <w:sz w:val="22"/>
          <w:szCs w:val="22"/>
          <w:color w:val="auto"/>
        </w:rPr>
        <w:t>A person who is subject to a blackout period and who has an unexpected and urgent need to sell the Company’s stock in order to generate cash may, in appropriate circumstances, be permitted to sell the Company’s stock even during the blackout period. Hardship exceptions may be granted only by the Compliance Officer and must be requested at least two business days in advance of the proposed trade. A hardship exception may be granted only if the Compliance Officer concludes that the person requesting the exception is not in possession of Material, Insider Information. Hardship exceptions are granted infrequently and only in exceptional circumstances.</w:t>
      </w:r>
    </w:p>
    <w:p>
      <w:pPr>
        <w:spacing w:after="0" w:line="208" w:lineRule="exact"/>
        <w:rPr>
          <w:sz w:val="20"/>
          <w:szCs w:val="20"/>
          <w:color w:val="auto"/>
        </w:rPr>
      </w:pPr>
    </w:p>
    <w:p>
      <w:pPr>
        <w:ind w:right="80" w:firstLine="747"/>
        <w:spacing w:after="0" w:line="239"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employment or service with the Company has ended. If a director, officer or other employee is in possession of Material Insider Information when employment or service terminates, the securities laws still prohibit trading in the Company’s securities until that information has become public or is no longer material.</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Certain Exceptions</w:t>
      </w:r>
      <w:r>
        <w:rPr>
          <w:rFonts w:ascii="Times New Roman" w:cs="Times New Roman" w:eastAsia="Times New Roman" w:hAnsi="Times New Roman"/>
          <w:sz w:val="22"/>
          <w:szCs w:val="22"/>
          <w:color w:val="auto"/>
        </w:rPr>
        <w:t>. The foregoing restrictions on trading in the Company’s securities do not apply to:</w:t>
      </w:r>
    </w:p>
    <w:p>
      <w:pPr>
        <w:spacing w:after="0" w:line="239" w:lineRule="exact"/>
        <w:rPr>
          <w:sz w:val="20"/>
          <w:szCs w:val="20"/>
          <w:color w:val="auto"/>
        </w:rPr>
      </w:pPr>
    </w:p>
    <w:p>
      <w:pPr>
        <w:ind w:left="620" w:right="80" w:hanging="358"/>
        <w:spacing w:after="0" w:line="258" w:lineRule="auto"/>
        <w:tabs>
          <w:tab w:leader="none" w:pos="6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shares to an entity that does not involve a change in the beneficial ownership of the shares (for example, to an inter vivos trust of which you are the sole beneficiary during your lifetime).</w:t>
      </w:r>
    </w:p>
    <w:p>
      <w:pPr>
        <w:spacing w:after="0" w:line="185" w:lineRule="exact"/>
        <w:rPr>
          <w:rFonts w:ascii="Times New Roman" w:cs="Times New Roman" w:eastAsia="Times New Roman" w:hAnsi="Times New Roman"/>
          <w:sz w:val="22"/>
          <w:szCs w:val="22"/>
          <w:color w:val="auto"/>
        </w:rPr>
      </w:pPr>
    </w:p>
    <w:p>
      <w:pPr>
        <w:ind w:left="620" w:right="40" w:hanging="358"/>
        <w:spacing w:after="0" w:line="244" w:lineRule="auto"/>
        <w:tabs>
          <w:tab w:leader="none" w:pos="6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stock options for cash under our stock plans (including any net-settled stock option exercise); however, the sale of any such stock acquired upon such exercise, including as part of a cashless exercise of an option, is subject to this Policy.</w:t>
      </w:r>
    </w:p>
    <w:p>
      <w:pPr>
        <w:spacing w:after="0" w:line="200" w:lineRule="exact"/>
        <w:rPr>
          <w:rFonts w:ascii="Times New Roman" w:cs="Times New Roman" w:eastAsia="Times New Roman" w:hAnsi="Times New Roman"/>
          <w:sz w:val="22"/>
          <w:szCs w:val="22"/>
          <w:color w:val="auto"/>
        </w:rPr>
      </w:pPr>
    </w:p>
    <w:p>
      <w:pPr>
        <w:ind w:left="620" w:hanging="358"/>
        <w:spacing w:after="0" w:line="282" w:lineRule="auto"/>
        <w:tabs>
          <w:tab w:leader="none" w:pos="620"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of a tax withholding right pursuant to which you elect to have the Company withhold shares of restricted stock, shares underlying restricted stock units or shares subject to an option to satisfy tax withholding requirements.</w:t>
      </w:r>
    </w:p>
    <w:p>
      <w:pPr>
        <w:spacing w:after="0" w:line="161" w:lineRule="exact"/>
        <w:rPr>
          <w:rFonts w:ascii="Times New Roman" w:cs="Times New Roman" w:eastAsia="Times New Roman" w:hAnsi="Times New Roman"/>
          <w:sz w:val="21"/>
          <w:szCs w:val="21"/>
          <w:color w:val="auto"/>
        </w:rPr>
      </w:pPr>
    </w:p>
    <w:p>
      <w:pPr>
        <w:ind w:left="620" w:right="620" w:hanging="358"/>
        <w:spacing w:after="0" w:line="258" w:lineRule="auto"/>
        <w:tabs>
          <w:tab w:leader="none" w:pos="6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Trades by Insiders that occur in connection with a registered primary or secondary underwritten offering of the Company.</w:t>
      </w:r>
    </w:p>
    <w:p>
      <w:pPr>
        <w:spacing w:after="0" w:line="185" w:lineRule="exact"/>
        <w:rPr>
          <w:rFonts w:ascii="Times New Roman" w:cs="Times New Roman" w:eastAsia="Times New Roman" w:hAnsi="Times New Roman"/>
          <w:sz w:val="22"/>
          <w:szCs w:val="22"/>
          <w:color w:val="auto"/>
        </w:rPr>
      </w:pPr>
    </w:p>
    <w:p>
      <w:pPr>
        <w:ind w:left="620" w:right="420" w:hanging="358"/>
        <w:spacing w:after="0" w:line="258" w:lineRule="auto"/>
        <w:tabs>
          <w:tab w:leader="none" w:pos="62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transactions pursuant to a trading plan that complies with Rule 10b5-1 under the U.S. Securities Exchange Act of 1934, as amended (a</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632460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273" w:name="page274"/>
    <w:bookmarkEnd w:id="273"/>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Plan</w:t>
      </w:r>
      <w:r>
        <w:rPr>
          <w:rFonts w:ascii="Times New Roman" w:cs="Times New Roman" w:eastAsia="Times New Roman" w:hAnsi="Times New Roman"/>
          <w:sz w:val="22"/>
          <w:szCs w:val="22"/>
          <w:color w:val="auto"/>
        </w:rPr>
        <w:t>”), and which has been approved by the Company. Please see Section II.B below.</w:t>
      </w:r>
    </w:p>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Please see Section III below for an explanation of the Material Insider Information.</w:t>
      </w:r>
    </w:p>
    <w:p>
      <w:pPr>
        <w:spacing w:after="0" w:line="206"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Additionally, no Insider may purchase or sell securities of another company at any time when the Insider has material non-public information about that company, including, without limitation, any of the suppliers, customers or partners of the Company, its subsidiaries or consolidated entities, when that information was obtained, in whole or in part, as a result of the Insider’s employment or relationship to the Company.</w:t>
      </w:r>
    </w:p>
    <w:p>
      <w:pPr>
        <w:spacing w:after="0" w:line="174" w:lineRule="exact"/>
        <w:rPr>
          <w:sz w:val="20"/>
          <w:szCs w:val="20"/>
          <w:color w:val="auto"/>
        </w:rPr>
      </w:pPr>
    </w:p>
    <w:p>
      <w:pPr>
        <w:ind w:firstLine="757"/>
        <w:spacing w:after="0" w:line="235" w:lineRule="auto"/>
        <w:tabs>
          <w:tab w:leader="none" w:pos="1181" w:val="left"/>
        </w:tabs>
        <w:numPr>
          <w:ilvl w:val="0"/>
          <w:numId w:val="26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Blackout Periods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Company’s announcement of its quarterly and annual financial results has the potential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have a material effect on the market for the Company’s securities. Therefore, to avoid even the appearance of trading while aware of Material Insider Information, all directors, officers and employees of the Company, and all employees of subsidiaries and consolidated entities of the Company with a title of director or above, as well the household and family members (as described in Section F, below), and trusts, corporations and other entities controlled by any of such persons, are prohibited from trading in the Company’s securities outside of four Trading Windows per year, each commencing with the close of trading on the second Trading Day following the date upon which the Company’s financial results for the prior fiscal quarter is released to the public and closing on the last day of the last month of each fiscal quarter.</w:t>
      </w:r>
    </w:p>
    <w:p>
      <w:pPr>
        <w:spacing w:after="0" w:line="184"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Furthermore, all transactions in the Company’s securities (including without limitation, acquisitions and dispositions of the ADSs and the sale of ordinary shares issued upon exercise of stock options, but excluding the acceptance of options granted by the Company and the exercise of options that does not involve the sale of securities) by officers, directors and employees designated by the Company from time to time must be pre-approved by the Compliance Officer (other than pursuant to a pre-approved Trading Plan in compliance with Rule 10b5-1). A pre-clearance request shall be submitted to the Compliance Officer at least five business days in advance of the proposed transaction. If the Compliance Officer is the requester, his/her pre-clearance request shall be submitted to the Company’s Chief Executive Officer or his delegate for approval. The person requesting pre-clearance will be asked to certify that he or she is not in possession of Material Insider Information. The Compliance Officer is under no obligation to approve a transaction submitted for pre-clearance and may determine not to permit the transaction. Approval for transactions of the Company’s securities will generally be granted only during a Trading Window and the transaction may only be performed during the Trading Window in which the approval is granted and in any event within two business days from the date of approval.</w:t>
      </w:r>
    </w:p>
    <w:p>
      <w:pPr>
        <w:spacing w:after="0" w:line="18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21"/>
          <w:szCs w:val="21"/>
          <w:color w:val="auto"/>
        </w:rPr>
        <w:t>If the Company’s earnings statement for a fiscal quarter or fiscal year is released on a Trading Day more than four hours before Nasdaq closes, then such date of disclosure shall be considered the first Trading Day following such public disclosure.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ind w:right="40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Please note that trading in Company securities during the Trading Window is not a “safe harbor,” and all Insiders should strictly comply with all other policies set forth in this Statement. Further, no director, officer or other employee, however, may buy or sell Company securities, even during the quarterly window periods, if he or she is in possession of Material Insider Information or has been notified by the Company of the imposition of a limited trading period.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When in doubt, do not trade! Check with the Compliance Officer first.</w:t>
      </w:r>
    </w:p>
    <w:p>
      <w:pPr>
        <w:spacing w:after="0" w:line="204" w:lineRule="exact"/>
        <w:rPr>
          <w:sz w:val="20"/>
          <w:szCs w:val="20"/>
          <w:color w:val="auto"/>
        </w:rPr>
      </w:pPr>
    </w:p>
    <w:p>
      <w:pPr>
        <w:ind w:right="120" w:firstLine="757"/>
        <w:spacing w:after="0" w:line="247"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Tipping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directly or indirectly disclose any Material Insider Information to anyone who trades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securities (so-called “tipping”), and no Insider may make buy or sell recommendations on the basis of Material Insider Information.</w:t>
      </w:r>
    </w:p>
    <w:p>
      <w:pPr>
        <w:spacing w:after="0" w:line="163" w:lineRule="exact"/>
        <w:rPr>
          <w:rFonts w:ascii="Times New Roman" w:cs="Times New Roman" w:eastAsia="Times New Roman" w:hAnsi="Times New Roman"/>
          <w:sz w:val="22"/>
          <w:szCs w:val="22"/>
          <w:color w:val="auto"/>
        </w:rPr>
      </w:pPr>
    </w:p>
    <w:p>
      <w:pPr>
        <w:ind w:right="100" w:firstLine="757"/>
        <w:spacing w:after="0" w:line="247"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Confidentiality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communicate any Material Insider Information to anyone outside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under any circumstances unless approved by the Compliance Officer in advance, or to anyone within the Company other than on a need-to-know basis.</w:t>
      </w:r>
    </w:p>
    <w:p>
      <w:pPr>
        <w:spacing w:after="0" w:line="163" w:lineRule="exact"/>
        <w:rPr>
          <w:rFonts w:ascii="Times New Roman" w:cs="Times New Roman" w:eastAsia="Times New Roman" w:hAnsi="Times New Roman"/>
          <w:sz w:val="22"/>
          <w:szCs w:val="22"/>
          <w:color w:val="auto"/>
        </w:rPr>
      </w:pPr>
    </w:p>
    <w:p>
      <w:pPr>
        <w:ind w:right="120" w:firstLine="757"/>
        <w:spacing w:after="0" w:line="239"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Comment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shall discuss any internal matters or developments of the Company with anyone outside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Company, 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to comment and direct the inquiry or request to the Compliance Officer.</w:t>
      </w:r>
    </w:p>
    <w:p>
      <w:pPr>
        <w:spacing w:after="0" w:line="171"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Transactions by Family Members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This Policy also applies to your family members who reside with you, anyone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else who lives in your household and any family members who do not live in your household but whose transactions in the Company’s securities are directed by you or are subject to your influence or control (such as relatives who consult with you before they trade in the Company’s securities). You are responsible for the transactions of these other persons, and, therefore, you should make them aware of the need to confer with you before they trade in the Company’s securities.</w:t>
      </w:r>
    </w:p>
    <w:p>
      <w:pPr>
        <w:spacing w:after="0" w:line="198" w:lineRule="exact"/>
        <w:rPr>
          <w:rFonts w:ascii="Times New Roman" w:cs="Times New Roman" w:eastAsia="Times New Roman" w:hAnsi="Times New Roman"/>
          <w:sz w:val="22"/>
          <w:szCs w:val="22"/>
          <w:color w:val="auto"/>
        </w:rPr>
      </w:pPr>
    </w:p>
    <w:p>
      <w:pPr>
        <w:ind w:right="140" w:firstLine="440"/>
        <w:spacing w:after="0" w:line="247" w:lineRule="auto"/>
        <w:tabs>
          <w:tab w:leader="none" w:pos="86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Transactions by Entities that You Influence or Control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This Policy also applies to any entities that you influence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 including any corporations, partnerships or trusts, and transactions by these controlled entities should be treated for the purposes of this Policy and applicable securities laws as if they were for your own account.</w:t>
      </w:r>
    </w:p>
    <w:p>
      <w:pPr>
        <w:spacing w:after="0" w:line="190" w:lineRule="exact"/>
        <w:rPr>
          <w:rFonts w:ascii="Times New Roman" w:cs="Times New Roman" w:eastAsia="Times New Roman" w:hAnsi="Times New Roman"/>
          <w:sz w:val="22"/>
          <w:szCs w:val="22"/>
          <w:color w:val="auto"/>
        </w:rPr>
      </w:pPr>
    </w:p>
    <w:p>
      <w:pPr>
        <w:ind w:right="400" w:firstLine="440"/>
        <w:spacing w:after="0" w:line="264" w:lineRule="auto"/>
        <w:tabs>
          <w:tab w:leader="none" w:pos="86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i w:val="1"/>
          <w:iCs w:val="1"/>
          <w:u w:val="single" w:color="auto"/>
          <w:color w:val="auto"/>
        </w:rPr>
        <w:t>Twenty-Twenty Hindsight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Before engaging in any transaction, you should carefully consider how enforcement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authorities and others might view the transaction in hindsight after the occurrence of a negative event.</w:t>
      </w:r>
    </w:p>
    <w:p>
      <w:pPr>
        <w:spacing w:after="0" w:line="172" w:lineRule="exact"/>
        <w:rPr>
          <w:rFonts w:ascii="Times New Roman" w:cs="Times New Roman" w:eastAsia="Times New Roman" w:hAnsi="Times New Roman"/>
          <w:sz w:val="22"/>
          <w:szCs w:val="22"/>
          <w:color w:val="auto"/>
        </w:rPr>
      </w:pPr>
    </w:p>
    <w:p>
      <w:pPr>
        <w:ind w:right="340" w:firstLine="757"/>
        <w:spacing w:after="0" w:line="264" w:lineRule="auto"/>
        <w:tabs>
          <w:tab w:leader="none" w:pos="1181"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Corrective 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If any potentially Material Insider Information is inadvertently disclosed, any Insider should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notify the Compliance Officer immediately so</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2"/>
          <w:szCs w:val="22"/>
          <w:color w:val="auto"/>
        </w:rPr>
        <w:t>that the Company can determine whether or not corrective action, such as general disclosure to the public, is warranted.</w:t>
      </w:r>
    </w:p>
    <w:p>
      <w:pPr>
        <w:spacing w:after="0" w:line="200" w:lineRule="exact"/>
        <w:rPr>
          <w:sz w:val="20"/>
          <w:szCs w:val="20"/>
          <w:color w:val="auto"/>
        </w:rPr>
      </w:pPr>
    </w:p>
    <w:p>
      <w:pPr>
        <w:ind w:firstLine="757"/>
        <w:spacing w:after="0" w:line="236" w:lineRule="auto"/>
        <w:tabs>
          <w:tab w:leader="none" w:pos="1181"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No Short Sales, Hedging or Speculative Transactions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No Insider, whether or not he or she possesses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 Information, may trade in options, warrants, puts and calls or similar instruments on the Company’s securities or sell such securities “short” (i.e., selling stock that is not owned and borrowing the shares to make delivery). Such activities may put the personal gain of the Insider in conflict with the best interests of the Company and its stockholders or otherwise give the appearance of impropriety. No Insider may engage in any transactions (including prepaid variable forward contracts, equity swaps, collars and exchange funds) that are designed to hedge or offset any decrease in the market value of the Company’s equity securities.</w:t>
      </w:r>
    </w:p>
    <w:p>
      <w:pPr>
        <w:spacing w:after="0" w:line="175" w:lineRule="exact"/>
        <w:rPr>
          <w:rFonts w:ascii="Times New Roman" w:cs="Times New Roman" w:eastAsia="Times New Roman" w:hAnsi="Times New Roman"/>
          <w:sz w:val="22"/>
          <w:szCs w:val="22"/>
          <w:color w:val="auto"/>
        </w:rPr>
      </w:pPr>
    </w:p>
    <w:p>
      <w:pPr>
        <w:jc w:val="both"/>
        <w:ind w:right="60" w:firstLine="757"/>
        <w:spacing w:after="0" w:line="251" w:lineRule="auto"/>
        <w:tabs>
          <w:tab w:leader="none" w:pos="1181"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u w:val="single" w:color="auto"/>
          <w:color w:val="auto"/>
        </w:rPr>
        <w:t>Margin Accounts and Pledges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Securities purchased on margin may be sold by the broker without the customer’s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consent if the customer fails to meet a margin call. Similarly, securities held in an account which may be borrowed against or are otherwise pledged (or hypothecated) as collateral for a loan may be sold in foreclosure if the borrower defaults on the loan.</w:t>
      </w:r>
    </w:p>
    <w:p>
      <w:pPr>
        <w:spacing w:after="0" w:line="1" w:lineRule="exact"/>
        <w:rPr>
          <w:rFonts w:ascii="Times New Roman" w:cs="Times New Roman" w:eastAsia="Times New Roman" w:hAnsi="Times New Roman"/>
          <w:sz w:val="21"/>
          <w:szCs w:val="21"/>
          <w:color w:val="auto"/>
        </w:rPr>
      </w:pPr>
    </w:p>
    <w:p>
      <w:pPr>
        <w:ind w:right="18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Accordingly, if an Insider purchases securities on margin or pledges them as collateral for a loan, a margin sale or foreclosure sale may occur at a time when the Insider is aware of Material Insider Information or otherwise are not permitted to trade in the Company’s securities. The sale, even though not initiated at the Insider’s request, is still a sale for the Insider’s benefit and may subject the Insider to liability under the insider trading rules if made at a time when the Insider is aware of Material Insider Information. Similar cautions apply to a bank or other loans for which the Insider has pledged stock as collateral.</w:t>
      </w:r>
    </w:p>
    <w:p>
      <w:pPr>
        <w:spacing w:after="0" w:line="174"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Therefore, no Insider, whether or not in possession of Material Insider Information, may purchase the Company’s securities on margin, or borrow against any account in which the Company’s securities are held, or pledge the Company’s securities as collateral for a loan, without first obtaining pre-clearance. Request for approval must be submitted to the Compliance Officer (or his/her designee) at least two weeks prior to the execution of the relevant documents. The Compliance Officer is under no obligation to approve any request for pre-clearance and may determine not to permit the arrangement for any reason. Approvals will be based on the particular facts and circumstances of the request, including, but not limited to, the percentage amount that the securities being pledged represent of the total number of the Company’s securities held by the person making the request and the financial capacity of the person making the request. Notwithstanding the pre-clearance of any request, the Company assumes no liability for the consequences of any transaction made pursuant to such request.</w:t>
      </w:r>
    </w:p>
    <w:p>
      <w:pPr>
        <w:spacing w:after="0" w:line="177" w:lineRule="exact"/>
        <w:rPr>
          <w:sz w:val="20"/>
          <w:szCs w:val="20"/>
          <w:color w:val="auto"/>
        </w:rPr>
      </w:pPr>
    </w:p>
    <w:p>
      <w:pPr>
        <w:ind w:right="140" w:firstLine="757"/>
        <w:spacing w:after="0" w:line="241" w:lineRule="auto"/>
        <w:tabs>
          <w:tab w:leader="none" w:pos="1181"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Policy Effective Time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For all Insiders, this Policy continues in effect until the opening of the first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Window after termination of employment or other relationship with the Company, except that the pre-approval requirements set forth herein continue to apply to directors and officers of the Company for six months after the termination of their status as a director or officer.</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76" w:name="page277"/>
    <w:bookmarkEnd w:id="276"/>
    <w:p>
      <w:pPr>
        <w:ind w:left="-20" w:firstLine="440"/>
        <w:spacing w:after="0" w:line="237" w:lineRule="auto"/>
        <w:tabs>
          <w:tab w:leader="none" w:pos="84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Legal Effect of this Policy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The Company’s Policy with respect to insider trading and the disclosure of confidential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the page intentionally left blank)</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632460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2" w:right="359" w:bottom="1440" w:gutter="0" w:footer="0" w:header="0"/>
        </w:sectPr>
      </w:pPr>
    </w:p>
    <w:bookmarkStart w:id="277" w:name="page278"/>
    <w:bookmarkEnd w:id="27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EXPLANATION OF INSIDER TRADING</w:t>
      </w:r>
    </w:p>
    <w:p>
      <w:pPr>
        <w:spacing w:after="0" w:line="21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As noted above, “insider trading” refers to the purchase or sale of securities while in possession of “material” and “non-public” information relating to such securities. “Securities” include not only stocks, bonds, notes and debentures, but also options, warrants and similar instruments. “Purchase” and “sale” are defined broadly under the United States federal securities law. “Purchase” includes not only the actual purchase of securities, but any contract to purchase or otherwise acquire securities. “Sale” includes not only the actual sale of securities, but any contract to sell or otherwise dispose of securities. These definitions extend to a broad range of transactions including conventional cash-for-stock transactions, the grant and exercise of stock options and acquisitions and exercises of warrants or puts, calls or other options related to the securities. It is generally understood that insider trading includes the following:</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Trading by Insiders while in possession of Material Insider Information;</w:t>
      </w:r>
    </w:p>
    <w:p>
      <w:pPr>
        <w:spacing w:after="0" w:line="260" w:lineRule="exact"/>
        <w:rPr>
          <w:sz w:val="20"/>
          <w:szCs w:val="20"/>
          <w:color w:val="auto"/>
        </w:rPr>
      </w:pPr>
    </w:p>
    <w:p>
      <w:pPr>
        <w:ind w:left="1500" w:right="180" w:hanging="263"/>
        <w:spacing w:after="0" w:line="282" w:lineRule="auto"/>
        <w:rPr>
          <w:sz w:val="20"/>
          <w:szCs w:val="20"/>
          <w:color w:val="auto"/>
        </w:rPr>
      </w:pPr>
      <w:r>
        <w:rPr>
          <w:rFonts w:ascii="Times New Roman" w:cs="Times New Roman" w:eastAsia="Times New Roman" w:hAnsi="Times New Roman"/>
          <w:sz w:val="21"/>
          <w:szCs w:val="21"/>
          <w:color w:val="auto"/>
        </w:rPr>
        <w:t>Trading by persons other than Insiders while in possession of Material Insider Information where the information either was given in breach of an Insider’s fiduciary duty to keep it confidential or was misappropriated; or</w:t>
      </w:r>
    </w:p>
    <w:p>
      <w:pPr>
        <w:spacing w:after="0" w:line="188" w:lineRule="exact"/>
        <w:rPr>
          <w:sz w:val="20"/>
          <w:szCs w:val="20"/>
          <w:color w:val="auto"/>
        </w:rPr>
      </w:pPr>
    </w:p>
    <w:p>
      <w:pPr>
        <w:ind w:left="1500" w:right="80" w:hanging="263"/>
        <w:spacing w:after="0" w:line="258" w:lineRule="auto"/>
        <w:rPr>
          <w:sz w:val="20"/>
          <w:szCs w:val="20"/>
          <w:color w:val="auto"/>
        </w:rPr>
      </w:pPr>
      <w:r>
        <w:rPr>
          <w:rFonts w:ascii="Times New Roman" w:cs="Times New Roman" w:eastAsia="Times New Roman" w:hAnsi="Times New Roman"/>
          <w:sz w:val="22"/>
          <w:szCs w:val="22"/>
          <w:color w:val="auto"/>
        </w:rPr>
        <w:t>Communicating or tipping Material Insider Information to others, including recommending the purchase or sale of the securities while in possession of such information.</w:t>
      </w:r>
    </w:p>
    <w:p>
      <w:pPr>
        <w:spacing w:after="0" w:line="186" w:lineRule="exact"/>
        <w:rPr>
          <w:sz w:val="20"/>
          <w:szCs w:val="20"/>
          <w:color w:val="auto"/>
        </w:rPr>
      </w:pPr>
    </w:p>
    <w:p>
      <w:pPr>
        <w:ind w:right="140" w:firstLine="432"/>
        <w:spacing w:after="0" w:line="239" w:lineRule="auto"/>
        <w:rPr>
          <w:sz w:val="20"/>
          <w:szCs w:val="20"/>
          <w:color w:val="auto"/>
        </w:rPr>
      </w:pPr>
      <w:r>
        <w:rPr>
          <w:rFonts w:ascii="Times New Roman" w:cs="Times New Roman" w:eastAsia="Times New Roman" w:hAnsi="Times New Roman"/>
          <w:sz w:val="22"/>
          <w:szCs w:val="22"/>
          <w:color w:val="auto"/>
        </w:rPr>
        <w:t>As noted above, for purposes of this Statement, the terms “purchase” and “sell” of securities exclude the acceptance of options granted by the issuer thereof and the exercise of options that does not involve the sale of securities. Among other things, the cashless exercise of options does involve the sale of securities and therefore is subject to the policies set forth in this Statement.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What Facts are Material?</w:t>
      </w:r>
    </w:p>
    <w:p>
      <w:pPr>
        <w:spacing w:after="0" w:line="21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 materiality of a fact depends upon the circumstances. A fact is considered “material” if it could reasonably be expected to affect the decision of a reasonable investor to buy, sell or hold the Company’s securities or where the fact is likely to have a significant effect on the market price of the Company’s securities. Material Insider Information can be positive or negative and can relate to virtually any aspect of a company’s business or to any type of securities, debt or equity.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Examples of Material Insider Information include (but are not limited to) information concerning:</w:t>
      </w:r>
    </w:p>
    <w:p>
      <w:pPr>
        <w:spacing w:after="0" w:line="206" w:lineRule="exact"/>
        <w:rPr>
          <w:sz w:val="20"/>
          <w:szCs w:val="20"/>
          <w:color w:val="auto"/>
        </w:rPr>
      </w:pPr>
    </w:p>
    <w:p>
      <w:pPr>
        <w:ind w:left="1240" w:hanging="430"/>
        <w:spacing w:after="0"/>
        <w:tabs>
          <w:tab w:leader="none" w:pos="124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earnings or earnings forecasts;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78" w:name="page279"/>
    <w:bookmarkEnd w:id="278"/>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financial condition or asset value;</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negotiations for the mergers or acquisitions or dispositions of significant subsidiaries or assets;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contracts or the loss of a significant contract;</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services;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marketing plans or changes in such plans;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investment plans or changes in such plans;</w:t>
      </w:r>
    </w:p>
    <w:p>
      <w:pPr>
        <w:spacing w:after="0" w:line="206" w:lineRule="exact"/>
        <w:rPr>
          <w:rFonts w:ascii="Times New Roman" w:cs="Times New Roman" w:eastAsia="Times New Roman" w:hAnsi="Times New Roman"/>
          <w:sz w:val="22"/>
          <w:szCs w:val="22"/>
          <w:color w:val="auto"/>
        </w:rPr>
      </w:pPr>
    </w:p>
    <w:p>
      <w:pPr>
        <w:ind w:left="1500" w:right="180" w:hanging="690"/>
        <w:spacing w:after="0" w:line="258" w:lineRule="auto"/>
        <w:tabs>
          <w:tab w:leader="none" w:pos="123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litigation, administrative action or governmental investigations or inquiries about the Company or any of its affiliated companies, officers or directors;</w:t>
      </w:r>
    </w:p>
    <w:p>
      <w:pPr>
        <w:spacing w:after="0" w:line="158"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borrowings or financings;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defaults on borrowings;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personnel changes;</w:t>
      </w:r>
    </w:p>
    <w:p>
      <w:pPr>
        <w:spacing w:after="0" w:line="206"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accounting methods and write-offs; and</w:t>
      </w:r>
    </w:p>
    <w:p>
      <w:pPr>
        <w:spacing w:after="0" w:line="206" w:lineRule="exact"/>
        <w:rPr>
          <w:rFonts w:ascii="Times New Roman" w:cs="Times New Roman" w:eastAsia="Times New Roman" w:hAnsi="Times New Roman"/>
          <w:sz w:val="22"/>
          <w:szCs w:val="22"/>
          <w:color w:val="auto"/>
        </w:rPr>
      </w:pPr>
    </w:p>
    <w:p>
      <w:pPr>
        <w:ind w:left="1500" w:right="400" w:hanging="690"/>
        <w:spacing w:after="0" w:line="258" w:lineRule="auto"/>
        <w:tabs>
          <w:tab w:leader="none" w:pos="1237"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substantial change in industry circumstances or competitive conditions which could significantly affect the Company’s earnings or prospects for expansion.</w:t>
      </w:r>
    </w:p>
    <w:p>
      <w:pPr>
        <w:spacing w:after="0" w:line="154"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A good general rule of thumb: </w:t>
      </w:r>
      <w:r>
        <w:rPr>
          <w:rFonts w:ascii="Times New Roman" w:cs="Times New Roman" w:eastAsia="Times New Roman" w:hAnsi="Times New Roman"/>
          <w:sz w:val="21"/>
          <w:szCs w:val="21"/>
          <w:b w:val="1"/>
          <w:bCs w:val="1"/>
          <w:color w:val="auto"/>
        </w:rPr>
        <w:t>when in doubt, do not trade.</w:t>
      </w:r>
      <w:r>
        <w:rPr>
          <w:rFonts w:ascii="Times New Roman" w:cs="Times New Roman" w:eastAsia="Times New Roman" w:hAnsi="Times New Roman"/>
          <w:sz w:val="21"/>
          <w:szCs w:val="21"/>
          <w:color w:val="auto"/>
        </w:rPr>
        <w:t xml:space="preserve"> One convenient rule of thumb in making this determination is to ask yourself, “Would the person on the other side of this transaction still want to complete the trade at this price if he or she knew what I know about the Company?” If the answer is “no,” you probably possess Material Insider Information.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What is Non-public?</w:t>
      </w:r>
    </w:p>
    <w:p>
      <w:pPr>
        <w:spacing w:after="0" w:line="21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Information is “non-public” if it has not been disclosed in a manner that allows it to be widely disseminated. In order for information to be considered public, it must be widely disseminated in a manner making it generally available to investors and confirmed by a reasonably reliable source. Wide dissemination generally occurs through a press release or in the Company’s filing with the United States Security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or through such media as </w:t>
      </w:r>
      <w:r>
        <w:rPr>
          <w:rFonts w:ascii="Times New Roman" w:cs="Times New Roman" w:eastAsia="Times New Roman" w:hAnsi="Times New Roman"/>
          <w:sz w:val="22"/>
          <w:szCs w:val="22"/>
          <w:i w:val="1"/>
          <w:iCs w:val="1"/>
          <w:color w:val="auto"/>
        </w:rPr>
        <w:t>Dow Jones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Reuters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Economic Services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The Wall Street Journal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Bloomberg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Associated Press</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United Press International</w:t>
      </w:r>
      <w:r>
        <w:rPr>
          <w:rFonts w:ascii="Times New Roman" w:cs="Times New Roman" w:eastAsia="Times New Roman" w:hAnsi="Times New Roman"/>
          <w:sz w:val="22"/>
          <w:szCs w:val="22"/>
          <w:color w:val="auto"/>
        </w:rPr>
        <w:t>. Reasonable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confirmation generally includes confirmation by officers, directors and employees who have been authorized by the Company to speak on its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1"/>
          <w:szCs w:val="21"/>
          <w:color w:val="auto"/>
        </w:rPr>
        <w:t>behalf. The circulation of rumors, even if accurate and reported in the media, does not constitute effective public dissemination.</w:t>
      </w:r>
    </w:p>
    <w:p>
      <w:pPr>
        <w:spacing w:after="0" w:line="218"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auto"/>
        </w:rPr>
        <w:t>In addition, even after a public announcement, a reasonable period of time must lapse in order for the market to react to the information. Generally, one should allow approximately forty eight (48) hours following publication as a reasonable waiting period before such information is deemed to be public.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Who is an Insider?</w:t>
      </w:r>
    </w:p>
    <w:p>
      <w:pPr>
        <w:spacing w:after="0" w:line="21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Insiders include all officers, directors, employees, consultants and advisors (e.g. accountants, attorneys, investment bankers and consultants) of the Company and its subsidiaries or consolidated entities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Insiders have independent fiduciary duties to their company and its stockholders not to trade on Material Insider Information relating to the company’s securities. In addition, family members and friends of Insiders who receive Material Insider Information about the Company may also fall under the definition of Insiders of the Company.</w:t>
      </w:r>
    </w:p>
    <w:p>
      <w:pPr>
        <w:spacing w:after="0" w:line="183"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It should be noted that trading by an Insider’s family members can be the responsibility of such Insider under certain circumstances and could give rise to legal and Company-imposed sanctions.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Trading by Persons Other than Insiders</w:t>
      </w:r>
    </w:p>
    <w:p>
      <w:pPr>
        <w:spacing w:after="0" w:line="21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Insiders are also prohibited from disclosing Material Insider Information, or making a recommendation or expressing an opinion regarding the Company’s securities based on such information, to others who might use the information to trade in the Company’s securities. Both the Insider who communicated the Material Insider Information and the person who receives and uses such information (the “</w:t>
      </w:r>
      <w:r>
        <w:rPr>
          <w:rFonts w:ascii="Times New Roman" w:cs="Times New Roman" w:eastAsia="Times New Roman" w:hAnsi="Times New Roman"/>
          <w:sz w:val="22"/>
          <w:szCs w:val="22"/>
          <w:u w:val="single" w:color="auto"/>
          <w:color w:val="auto"/>
        </w:rPr>
        <w:t>Tippee</w:t>
      </w:r>
      <w:r>
        <w:rPr>
          <w:rFonts w:ascii="Times New Roman" w:cs="Times New Roman" w:eastAsia="Times New Roman" w:hAnsi="Times New Roman"/>
          <w:sz w:val="22"/>
          <w:szCs w:val="22"/>
          <w:color w:val="auto"/>
        </w:rPr>
        <w:t>”) may be liable under the United States federal securities law.</w:t>
      </w:r>
    </w:p>
    <w:p>
      <w:pPr>
        <w:spacing w:after="0" w:line="18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Persons other than Insiders also can be liable for insider trading, including Tippees who trade on Material Insider Information tipped to them or individuals who trade on Material Insider Information which has been misappropriated. Tippees inherit an Insider’s duties and are liable for trading on Material Insider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Insider Information by receiving overt tips from others or through, among other things, conversations at social, business, or other gatherings.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Penalties for Engaging in Insider Trading</w:t>
      </w:r>
    </w:p>
    <w:p>
      <w:pPr>
        <w:spacing w:after="0" w:line="212"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Penalties for trading on or tipping Material Insider Information can extend significantly beyond any profits made or losses avoided, both for individuals engaging in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80" w:name="page281"/>
    <w:bookmarkEnd w:id="280"/>
    <w:p>
      <w:pPr>
        <w:ind w:right="400"/>
        <w:spacing w:after="0" w:line="244" w:lineRule="auto"/>
        <w:rPr>
          <w:sz w:val="20"/>
          <w:szCs w:val="20"/>
          <w:color w:val="auto"/>
        </w:rPr>
      </w:pPr>
      <w:r>
        <w:rPr>
          <w:rFonts w:ascii="Times New Roman" w:cs="Times New Roman" w:eastAsia="Times New Roman" w:hAnsi="Times New Roman"/>
          <w:sz w:val="22"/>
          <w:szCs w:val="22"/>
          <w:color w:val="auto"/>
        </w:rPr>
        <w:t>such unlawful conduct and their employers. The SEC and the United States Department of Justice have made the civil and criminal prosecution of insider trading violations a top priority. Enforcement remedies available to the government or private plaintiffs under the United States federal securities law include:</w:t>
      </w:r>
    </w:p>
    <w:p>
      <w:pPr>
        <w:spacing w:after="0" w:line="2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SEC administrative sanctions;</w:t>
      </w:r>
    </w:p>
    <w:p>
      <w:pPr>
        <w:spacing w:after="0" w:line="260" w:lineRule="exact"/>
        <w:rPr>
          <w:sz w:val="20"/>
          <w:szCs w:val="20"/>
          <w:color w:val="auto"/>
        </w:rPr>
      </w:pPr>
    </w:p>
    <w:p>
      <w:pPr>
        <w:ind w:left="1240" w:right="5020"/>
        <w:spacing w:after="0" w:line="486" w:lineRule="auto"/>
        <w:rPr>
          <w:sz w:val="20"/>
          <w:szCs w:val="20"/>
          <w:color w:val="auto"/>
        </w:rPr>
      </w:pPr>
      <w:r>
        <w:rPr>
          <w:rFonts w:ascii="Times New Roman" w:cs="Times New Roman" w:eastAsia="Times New Roman" w:hAnsi="Times New Roman"/>
          <w:sz w:val="22"/>
          <w:szCs w:val="22"/>
          <w:color w:val="auto"/>
        </w:rPr>
        <w:t>securities industry self-regulatory organization sanctions; civil injunctions;</w:t>
      </w:r>
    </w:p>
    <w:p>
      <w:pPr>
        <w:spacing w:after="0" w:line="1" w:lineRule="exact"/>
        <w:rPr>
          <w:sz w:val="20"/>
          <w:szCs w:val="20"/>
          <w:color w:val="auto"/>
        </w:rPr>
      </w:pPr>
    </w:p>
    <w:p>
      <w:pPr>
        <w:ind w:left="1240" w:right="6880"/>
        <w:spacing w:after="0" w:line="509" w:lineRule="auto"/>
        <w:rPr>
          <w:sz w:val="20"/>
          <w:szCs w:val="20"/>
          <w:color w:val="auto"/>
        </w:rPr>
      </w:pPr>
      <w:r>
        <w:rPr>
          <w:rFonts w:ascii="Times New Roman" w:cs="Times New Roman" w:eastAsia="Times New Roman" w:hAnsi="Times New Roman"/>
          <w:sz w:val="21"/>
          <w:szCs w:val="21"/>
          <w:color w:val="auto"/>
        </w:rPr>
        <w:t>damage awards to private plaintiffs; disgorgement of all profits;</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civil fines for the violator of up to three times the amount of profit gained or loss avoided;</w:t>
      </w:r>
    </w:p>
    <w:p>
      <w:pPr>
        <w:spacing w:after="0" w:line="260" w:lineRule="exact"/>
        <w:rPr>
          <w:sz w:val="20"/>
          <w:szCs w:val="20"/>
          <w:color w:val="auto"/>
        </w:rPr>
      </w:pPr>
    </w:p>
    <w:p>
      <w:pPr>
        <w:ind w:left="1500" w:hanging="263"/>
        <w:spacing w:after="0" w:line="244" w:lineRule="auto"/>
        <w:rPr>
          <w:sz w:val="20"/>
          <w:szCs w:val="20"/>
          <w:color w:val="auto"/>
        </w:rPr>
      </w:pPr>
      <w:r>
        <w:rPr>
          <w:rFonts w:ascii="Times New Roman" w:cs="Times New Roman" w:eastAsia="Times New Roman" w:hAnsi="Times New Roman"/>
          <w:sz w:val="22"/>
          <w:szCs w:val="22"/>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227" w:lineRule="exact"/>
        <w:rPr>
          <w:sz w:val="20"/>
          <w:szCs w:val="20"/>
          <w:color w:val="auto"/>
        </w:rPr>
      </w:pPr>
    </w:p>
    <w:p>
      <w:pPr>
        <w:ind w:left="1240" w:right="1720"/>
        <w:spacing w:after="0" w:line="474" w:lineRule="auto"/>
        <w:rPr>
          <w:sz w:val="20"/>
          <w:szCs w:val="20"/>
          <w:color w:val="auto"/>
        </w:rPr>
      </w:pPr>
      <w:r>
        <w:rPr>
          <w:rFonts w:ascii="Times New Roman" w:cs="Times New Roman" w:eastAsia="Times New Roman" w:hAnsi="Times New Roman"/>
          <w:sz w:val="22"/>
          <w:szCs w:val="22"/>
          <w:color w:val="auto"/>
        </w:rPr>
        <w:t>criminal fines for individual violators of up to US$1,000,000 (US$2,500,000 for an entity); and jail sentences of up to 10 years.</w:t>
      </w: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In addition, insider trading could result in serious sanctions by the Company, including immediate dismissal. Insider trading violations are not limited to violations of the United States federal securities law: other federal and state civil or criminal laws, such as the laws prohibiting mail and wire fraud and the United States Racketeer Influenced and Corrupt Organizations Act (RICO), may also be violated upon the occurrence of insider trading.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(Remainder of the page intentionally left blank)</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81" w:name="page282"/>
    <w:bookmarkEnd w:id="28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IV.</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TRANSACTIONS UNDER RULE 10b5-1 PLANS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Implementation of a trading plan under Rule 10b5-1 under the Securities Exchange Act of 1934, as amended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allows a person to place a standing order with a broker to purchase or sell Company securities, so long as the</w:t>
      </w:r>
    </w:p>
    <w:p>
      <w:pPr>
        <w:spacing w:after="0" w:line="230" w:lineRule="auto"/>
        <w:rPr>
          <w:sz w:val="20"/>
          <w:szCs w:val="20"/>
          <w:color w:val="auto"/>
        </w:rPr>
      </w:pPr>
      <w:r>
        <w:rPr>
          <w:rFonts w:ascii="Times New Roman" w:cs="Times New Roman" w:eastAsia="Times New Roman" w:hAnsi="Times New Roman"/>
          <w:sz w:val="22"/>
          <w:szCs w:val="22"/>
          <w:color w:val="auto"/>
        </w:rPr>
        <w:t>plan specifies the dates, prices and amounts of the planned trades or establishes a formula for those purposes. Trades executed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pursuant to a Rule 10b5-1 plan that meets the requirements listed below may generally be executed even though the person who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established the plan may be in possession of material non-public information at the time of the trade. Any other trading plans that</w:t>
      </w:r>
    </w:p>
    <w:p>
      <w:pPr>
        <w:spacing w:after="0" w:line="231" w:lineRule="auto"/>
        <w:rPr>
          <w:sz w:val="20"/>
          <w:szCs w:val="20"/>
          <w:color w:val="auto"/>
        </w:rPr>
      </w:pPr>
      <w:r>
        <w:rPr>
          <w:rFonts w:ascii="Times New Roman" w:cs="Times New Roman" w:eastAsia="Times New Roman" w:hAnsi="Times New Roman"/>
          <w:sz w:val="22"/>
          <w:szCs w:val="22"/>
          <w:color w:val="auto"/>
        </w:rPr>
        <w:t>are not implemented under Rule 10b5-1, that do not have the protections of Rule 10b5-1, are referred to as non-Rule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plans.</w:t>
      </w:r>
    </w:p>
    <w:p>
      <w:pPr>
        <w:spacing w:after="0" w:line="182"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A Rule 10b5-1 plan may only be established when a person is not in possession of material non-public information and when a blackout period is not in effect. Anyone subject to this Policy who wishes to enter into a Rule 10b5-1 plan must submit the Rule 10b5-1 plan to the Compliance Officer for prior, written approval. Subsequent termination or modifications to any Rule 10b5-1 plans must also be pre-approved by the Compliance Officer.</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Whether or not pre-approval will be granted will depend on all the facts and circumstances at the time, but the following guidelines should be kept in mind:</w:t>
      </w:r>
    </w:p>
    <w:p>
      <w:pPr>
        <w:spacing w:after="0" w:line="158" w:lineRule="exact"/>
        <w:rPr>
          <w:sz w:val="20"/>
          <w:szCs w:val="20"/>
          <w:color w:val="auto"/>
        </w:rPr>
      </w:pPr>
    </w:p>
    <w:p>
      <w:pPr>
        <w:ind w:left="1500" w:right="20" w:hanging="743"/>
        <w:spacing w:after="0" w:line="258" w:lineRule="auto"/>
        <w:tabs>
          <w:tab w:leader="none" w:pos="15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Rule 10b5-1 plan must be in writing and entered into only when a blackout period is not in effect and when the individual is not in possession of material non-public information;</w:t>
      </w:r>
    </w:p>
    <w:p>
      <w:pPr>
        <w:spacing w:after="0" w:line="158" w:lineRule="exact"/>
        <w:rPr>
          <w:rFonts w:ascii="Times New Roman" w:cs="Times New Roman" w:eastAsia="Times New Roman" w:hAnsi="Times New Roman"/>
          <w:sz w:val="22"/>
          <w:szCs w:val="22"/>
          <w:color w:val="auto"/>
        </w:rPr>
      </w:pPr>
    </w:p>
    <w:p>
      <w:pPr>
        <w:ind w:left="1500" w:right="100" w:hanging="743"/>
        <w:spacing w:after="0" w:line="244" w:lineRule="auto"/>
        <w:tabs>
          <w:tab w:leader="none" w:pos="15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Rule 10b5-1 plan must be adopted in good faith and not as part of a plan or scheme to evade the anti-fraud rules under the federal securities laws, and the individual must at all times act in good faith with respect to the Rule 10b5-1 plan;</w:t>
      </w:r>
    </w:p>
    <w:p>
      <w:pPr>
        <w:spacing w:after="0" w:line="173" w:lineRule="exact"/>
        <w:rPr>
          <w:rFonts w:ascii="Times New Roman" w:cs="Times New Roman" w:eastAsia="Times New Roman" w:hAnsi="Times New Roman"/>
          <w:sz w:val="22"/>
          <w:szCs w:val="22"/>
          <w:color w:val="auto"/>
        </w:rPr>
      </w:pPr>
    </w:p>
    <w:p>
      <w:pPr>
        <w:jc w:val="both"/>
        <w:ind w:left="1500" w:right="120" w:hanging="743"/>
        <w:spacing w:after="0" w:line="249" w:lineRule="auto"/>
        <w:tabs>
          <w:tab w:leader="none" w:pos="1500"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adopting the Rule 10b5-1 plan who serves as a Section 16 Insider (as defined in Section V below) of the Company must certify in writing, in the terms of the Rule 10b5-1 plan agreement, that, at the time of the adoption of a Rule 10b5-1 plan (whether a new plan or due to a Termination Modification, as defined below):</w:t>
      </w:r>
    </w:p>
    <w:p>
      <w:pPr>
        <w:spacing w:after="0" w:line="1" w:lineRule="exact"/>
        <w:rPr>
          <w:rFonts w:ascii="Times New Roman" w:cs="Times New Roman" w:eastAsia="Times New Roman" w:hAnsi="Times New Roman"/>
          <w:sz w:val="21"/>
          <w:szCs w:val="21"/>
          <w:color w:val="auto"/>
        </w:rPr>
      </w:pPr>
    </w:p>
    <w:p>
      <w:pPr>
        <w:ind w:left="1820" w:hanging="314"/>
        <w:spacing w:after="0"/>
        <w:tabs>
          <w:tab w:leader="none" w:pos="1820"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they are not aware of material nonpublic information about the Company or the Company’s securities; and</w:t>
      </w:r>
    </w:p>
    <w:p>
      <w:pPr>
        <w:spacing w:after="0" w:line="1" w:lineRule="exact"/>
        <w:rPr>
          <w:rFonts w:ascii="Times New Roman" w:cs="Times New Roman" w:eastAsia="Times New Roman" w:hAnsi="Times New Roman"/>
          <w:sz w:val="21"/>
          <w:szCs w:val="21"/>
          <w:color w:val="auto"/>
        </w:rPr>
      </w:pPr>
    </w:p>
    <w:p>
      <w:pPr>
        <w:ind w:left="1820" w:hanging="314"/>
        <w:spacing w:after="0"/>
        <w:tabs>
          <w:tab w:leader="none" w:pos="1820" w:val="left"/>
        </w:tabs>
        <w:numPr>
          <w:ilvl w:val="1"/>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they are adopting the plan in good faith and not as part of a plan or scheme to evade the prohibitions of Rule</w:t>
      </w:r>
    </w:p>
    <w:p>
      <w:pPr>
        <w:spacing w:after="0" w:line="1"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10b-5;</w:t>
      </w:r>
    </w:p>
    <w:p>
      <w:pPr>
        <w:spacing w:after="0" w:line="182" w:lineRule="exact"/>
        <w:rPr>
          <w:rFonts w:ascii="Times New Roman" w:cs="Times New Roman" w:eastAsia="Times New Roman" w:hAnsi="Times New Roman"/>
          <w:sz w:val="21"/>
          <w:szCs w:val="21"/>
          <w:color w:val="auto"/>
        </w:rPr>
      </w:pPr>
    </w:p>
    <w:p>
      <w:pPr>
        <w:ind w:left="1500" w:right="100" w:hanging="743"/>
        <w:spacing w:after="0" w:line="244" w:lineRule="auto"/>
        <w:tabs>
          <w:tab w:leader="none" w:pos="15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to the amount, price or timing of the purchase or sale of securities under the Rule 10b5-1 plan, as well as any change to an algorithm or computer program affecting such factors shall be deemed to be a termination of the current Rule 10b5-1 plan and the adoption of a new</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282" w:name="page283"/>
    <w:bookmarkEnd w:id="282"/>
    <w:p>
      <w:pPr>
        <w:ind w:left="743" w:right="20"/>
        <w:spacing w:after="0" w:line="258" w:lineRule="auto"/>
        <w:rPr>
          <w:sz w:val="20"/>
          <w:szCs w:val="20"/>
          <w:color w:val="auto"/>
        </w:rPr>
      </w:pPr>
      <w:r>
        <w:rPr>
          <w:rFonts w:ascii="Times New Roman" w:cs="Times New Roman" w:eastAsia="Times New Roman" w:hAnsi="Times New Roman"/>
          <w:sz w:val="22"/>
          <w:szCs w:val="22"/>
          <w:color w:val="auto"/>
        </w:rPr>
        <w:t>Rule 10b5-1 plan for purposes of restarting the Cooling-Off Period (as defined below) (any such modification, a “</w:t>
      </w:r>
      <w:r>
        <w:rPr>
          <w:rFonts w:ascii="Times New Roman" w:cs="Times New Roman" w:eastAsia="Times New Roman" w:hAnsi="Times New Roman"/>
          <w:sz w:val="22"/>
          <w:szCs w:val="22"/>
          <w:u w:val="single" w:color="auto"/>
          <w:color w:val="auto"/>
        </w:rPr>
        <w:t>Termination Modification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43" w:right="140" w:hanging="743"/>
        <w:spacing w:after="0" w:line="234" w:lineRule="auto"/>
        <w:tabs>
          <w:tab w:leader="none" w:pos="74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made following adoption or Termination Modification of a Rule 10b5-1 Plan of a Section 16 Insider of the Company may take place no sooner than the later of (i) 90 calendar days from adoption or modification and (ii) the second business day after the Company announces its financial results in a Form 20-F or Form 6-K for the quarter in which the Rule 10b5-1 plan is adopted or amended by a Termination Modification (but in any event, not to exceed 120 days following the Rule 10b5-1 plan’s adoption or any Termination Modification of such Rule 10b5-1 plan) (the “</w:t>
      </w:r>
      <w:r>
        <w:rPr>
          <w:rFonts w:ascii="Times New Roman" w:cs="Times New Roman" w:eastAsia="Times New Roman" w:hAnsi="Times New Roman"/>
          <w:sz w:val="22"/>
          <w:szCs w:val="22"/>
          <w:u w:val="single" w:color="auto"/>
          <w:color w:val="auto"/>
        </w:rPr>
        <w:t>Officer Cooling-Off Period</w:t>
      </w:r>
      <w:r>
        <w:rPr>
          <w:rFonts w:ascii="Times New Roman" w:cs="Times New Roman" w:eastAsia="Times New Roman" w:hAnsi="Times New Roman"/>
          <w:sz w:val="22"/>
          <w:szCs w:val="22"/>
          <w:color w:val="auto"/>
        </w:rPr>
        <w:t>”). For individual other than Section 16 Insiders of the Company, the Cooling-Off Period must be at least 30 days following the Rule 10b5-1 plan’s adoption or any Termination Modification of such Rule 10b5-1 plan (the “</w:t>
      </w:r>
      <w:r>
        <w:rPr>
          <w:rFonts w:ascii="Times New Roman" w:cs="Times New Roman" w:eastAsia="Times New Roman" w:hAnsi="Times New Roman"/>
          <w:sz w:val="22"/>
          <w:szCs w:val="22"/>
          <w:u w:val="single" w:color="auto"/>
          <w:color w:val="auto"/>
        </w:rPr>
        <w:t>non-Officer Cooling-Off Period</w:t>
      </w:r>
      <w:r>
        <w:rPr>
          <w:rFonts w:ascii="Times New Roman" w:cs="Times New Roman" w:eastAsia="Times New Roman" w:hAnsi="Times New Roman"/>
          <w:sz w:val="22"/>
          <w:szCs w:val="22"/>
          <w:color w:val="auto"/>
        </w:rPr>
        <w:t>”; together with Officer Cooling-Off Period, the “</w:t>
      </w: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743" w:right="120" w:hanging="743"/>
        <w:spacing w:after="0" w:line="244" w:lineRule="auto"/>
        <w:tabs>
          <w:tab w:leader="none" w:pos="74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the Compliance Officer and subject to the limitations under Rule 10b5-1, any directors, officers, employees and consultants of the Company may not have more than one Rule 10b5-1 plan in effect at any given time, and no transactions may be effected outside the Rule 10b5-1 plan;</w:t>
      </w:r>
    </w:p>
    <w:p>
      <w:pPr>
        <w:spacing w:after="0" w:line="173" w:lineRule="exact"/>
        <w:rPr>
          <w:rFonts w:ascii="Times New Roman" w:cs="Times New Roman" w:eastAsia="Times New Roman" w:hAnsi="Times New Roman"/>
          <w:sz w:val="22"/>
          <w:szCs w:val="22"/>
          <w:color w:val="auto"/>
        </w:rPr>
      </w:pPr>
    </w:p>
    <w:p>
      <w:pPr>
        <w:ind w:left="743" w:right="160" w:hanging="743"/>
        <w:spacing w:after="0" w:line="244" w:lineRule="auto"/>
        <w:tabs>
          <w:tab w:leader="none" w:pos="74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Rule 10b5-1 Plan is meant to effect a single transaction, any directors, officers, employees and consultants of the Company may not have had another single-trade plan (10b5-1 or otherwise) during the prior 12-month period;</w:t>
      </w:r>
    </w:p>
    <w:p>
      <w:pPr>
        <w:spacing w:after="0" w:line="173" w:lineRule="exact"/>
        <w:rPr>
          <w:rFonts w:ascii="Times New Roman" w:cs="Times New Roman" w:eastAsia="Times New Roman" w:hAnsi="Times New Roman"/>
          <w:sz w:val="22"/>
          <w:szCs w:val="22"/>
          <w:color w:val="auto"/>
        </w:rPr>
      </w:pPr>
    </w:p>
    <w:p>
      <w:pPr>
        <w:ind w:left="743" w:right="340" w:hanging="743"/>
        <w:spacing w:after="0" w:line="258" w:lineRule="auto"/>
        <w:tabs>
          <w:tab w:leader="none" w:pos="74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Rule 10b5-1 plans must permit its termination by the Company at any time when the Company believes that trading pursuant to its terms may not lawfully occur;</w:t>
      </w:r>
    </w:p>
    <w:p>
      <w:pPr>
        <w:spacing w:after="0" w:line="158"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Rule 10b5-1 plan should, in the absence of special circumstances, be for a period of not less than one year;</w:t>
      </w:r>
    </w:p>
    <w:p>
      <w:pPr>
        <w:spacing w:after="0" w:line="217" w:lineRule="exact"/>
        <w:rPr>
          <w:rFonts w:ascii="Times New Roman" w:cs="Times New Roman" w:eastAsia="Times New Roman" w:hAnsi="Times New Roman"/>
          <w:sz w:val="21"/>
          <w:szCs w:val="21"/>
          <w:color w:val="auto"/>
        </w:rPr>
      </w:pPr>
    </w:p>
    <w:p>
      <w:pPr>
        <w:ind w:left="743" w:right="340" w:hanging="743"/>
        <w:spacing w:after="0" w:line="282" w:lineRule="auto"/>
        <w:tabs>
          <w:tab w:leader="none" w:pos="743"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Rule 10b5-1 plan should provide for relatively simple pricing parameters (e.g., limit orders), rather than complex formulae for determining when trading under the Rule 10b5-1 plan may occur and at what price;</w:t>
      </w:r>
    </w:p>
    <w:p>
      <w:pPr>
        <w:spacing w:after="0" w:line="134" w:lineRule="exact"/>
        <w:rPr>
          <w:rFonts w:ascii="Times New Roman" w:cs="Times New Roman" w:eastAsia="Times New Roman" w:hAnsi="Times New Roman"/>
          <w:sz w:val="21"/>
          <w:szCs w:val="21"/>
          <w:color w:val="auto"/>
        </w:rPr>
      </w:pPr>
    </w:p>
    <w:p>
      <w:pPr>
        <w:ind w:left="743" w:hanging="743"/>
        <w:spacing w:after="0" w:line="255" w:lineRule="auto"/>
        <w:tabs>
          <w:tab w:leader="none" w:pos="743"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may generally not be a termination or Termination Modification of a Rule 10b5-1 plan once it is executed to avoid calling into question the original “bona fides” of the Rule 10b5-1 plan; any Termination Modification must be made only during a non-blackout period when the person is not in possession of material non-public information and transactions under the amended Rule 10b5-1 plan may not commence until</w:t>
      </w:r>
    </w:p>
    <w:p>
      <w:pPr>
        <w:spacing w:after="0" w:line="324"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632460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283" w:name="page284"/>
    <w:bookmarkEnd w:id="283"/>
    <w:p>
      <w:pPr>
        <w:ind w:left="1500"/>
        <w:spacing w:after="0"/>
        <w:rPr>
          <w:sz w:val="20"/>
          <w:szCs w:val="20"/>
          <w:color w:val="auto"/>
        </w:rPr>
      </w:pPr>
      <w:r>
        <w:rPr>
          <w:rFonts w:ascii="Times New Roman" w:cs="Times New Roman" w:eastAsia="Times New Roman" w:hAnsi="Times New Roman"/>
          <w:sz w:val="22"/>
          <w:szCs w:val="22"/>
          <w:color w:val="auto"/>
        </w:rPr>
        <w:t>the Cooling-Off Period, beginning at the execution of the Termination Modification, has elapsed; and</w:t>
      </w:r>
    </w:p>
    <w:p>
      <w:pPr>
        <w:spacing w:after="0" w:line="206" w:lineRule="exact"/>
        <w:rPr>
          <w:sz w:val="20"/>
          <w:szCs w:val="20"/>
          <w:color w:val="auto"/>
        </w:rPr>
      </w:pPr>
    </w:p>
    <w:p>
      <w:pPr>
        <w:ind w:left="1500" w:right="40" w:hanging="743"/>
        <w:spacing w:after="0" w:line="258" w:lineRule="auto"/>
        <w:tabs>
          <w:tab w:leader="none" w:pos="150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10b5-1 plans do not obviate the need to file Form 144 and the fact that a reported transaction was made or is to be made pursuant to a Rule 10b5-1 should be noted on the form.</w:t>
      </w:r>
    </w:p>
    <w:p>
      <w:pPr>
        <w:spacing w:after="0" w:line="158" w:lineRule="exact"/>
        <w:rPr>
          <w:sz w:val="20"/>
          <w:szCs w:val="20"/>
          <w:color w:val="auto"/>
        </w:rPr>
      </w:pPr>
    </w:p>
    <w:p>
      <w:pPr>
        <w:jc w:val="both"/>
        <w:ind w:right="720" w:firstLine="749"/>
        <w:spacing w:after="0" w:line="244" w:lineRule="auto"/>
        <w:rPr>
          <w:sz w:val="20"/>
          <w:szCs w:val="20"/>
          <w:color w:val="auto"/>
        </w:rPr>
      </w:pPr>
      <w:r>
        <w:rPr>
          <w:rFonts w:ascii="Times New Roman" w:cs="Times New Roman" w:eastAsia="Times New Roman" w:hAnsi="Times New Roman"/>
          <w:sz w:val="22"/>
          <w:szCs w:val="22"/>
          <w:color w:val="auto"/>
        </w:rPr>
        <w:t>Information regarding adoption, modification, termination and material terms of any trading plan (including any modification or change to the plan), including both Rule 10b5-1 plans and non-Rule 10b5-1 plans, may be required to be disclosed in the Company’s annual report on Form 20-F.</w:t>
      </w:r>
    </w:p>
    <w:p>
      <w:pPr>
        <w:spacing w:after="0" w:line="173"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A copy of the executed version of any pre-cleared trading plan, both Rule 10b5-1 plans and non-Rule 10b5-1 plans, or any pre-cleared amendment to or modification or termination of a trading plan must be provided to the Compliance Officer for retention in accordance with the Company’s record retention policy.</w:t>
      </w:r>
    </w:p>
    <w:p>
      <w:pPr>
        <w:spacing w:after="0" w:line="173"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In addition to the above, the trading plan should be structured to avoid purchases or sales shortly before known announcements, such as quarterly or annual earnings announcements. Even though transactions executed in accordance with a properly formulated trading plan are exempt from the insider trading rules, the trades may nonetheless occur at times shortly before we announce material news, and the investing public and media may not understand the nuances of trading pursuant to a trading plan. This could result in negative publicity for you and the Company if the SEC or the Nasdaq were to investigate your trades.</w:t>
      </w:r>
    </w:p>
    <w:p>
      <w:pPr>
        <w:spacing w:after="0" w:line="18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Company reserves the right to withhold approval of any 10b5-1 trading plan that the Company determines is not consistent with the rules regarding such plans. Notwithstanding any approval of a 10b5-1 trading plan, the Company assumes no liability for the consequences of any transaction made pursuant to such plan.</w:t>
      </w:r>
    </w:p>
    <w:p>
      <w:pPr>
        <w:spacing w:after="0" w:line="17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Approval of a 10b5-1 trading plan by the Compliance Officer does not constitute legal advice to the requesting party. The rules regarding 10b5-1 trading plans are complex and you must fully comply with them. You should consult with your legal advisor before proceeding.</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the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V.</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ADDITIONAL REQUIREMENTS ON SECTION 16 INSIDERS</w:t>
      </w:r>
    </w:p>
    <w:p>
      <w:pPr>
        <w:spacing w:after="0" w:line="21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The Board of Directors have confirmed that certain persons, including all directors and certain officers of the Company, should be subject to the reporting</w:t>
      </w: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84" w:name="page285"/>
    <w:bookmarkEnd w:id="284"/>
    <w:p>
      <w:pPr>
        <w:ind w:right="200"/>
        <w:spacing w:after="0" w:line="239" w:lineRule="auto"/>
        <w:rPr>
          <w:sz w:val="20"/>
          <w:szCs w:val="20"/>
          <w:color w:val="auto"/>
        </w:rPr>
      </w:pPr>
      <w:r>
        <w:rPr>
          <w:rFonts w:ascii="Times New Roman" w:cs="Times New Roman" w:eastAsia="Times New Roman" w:hAnsi="Times New Roman"/>
          <w:sz w:val="22"/>
          <w:szCs w:val="22"/>
          <w:color w:val="auto"/>
        </w:rPr>
        <w:t>provisions of Section 16(a) of the Exchange Act and the underlying rules and regulations promulgated by the SEC. Each such person is referred to herein as a “</w:t>
      </w:r>
      <w:r>
        <w:rPr>
          <w:rFonts w:ascii="Times New Roman" w:cs="Times New Roman" w:eastAsia="Times New Roman" w:hAnsi="Times New Roman"/>
          <w:sz w:val="22"/>
          <w:szCs w:val="22"/>
          <w:u w:val="single" w:color="auto"/>
          <w:color w:val="auto"/>
        </w:rPr>
        <w:t>Section 16 Insider</w:t>
      </w:r>
      <w:r>
        <w:rPr>
          <w:rFonts w:ascii="Times New Roman" w:cs="Times New Roman" w:eastAsia="Times New Roman" w:hAnsi="Times New Roman"/>
          <w:sz w:val="22"/>
          <w:szCs w:val="22"/>
          <w:color w:val="auto"/>
        </w:rPr>
        <w:t>.” The Board of Directors or its designated committee will review, at least annually, those individuals who are designated as Section 16 Insiders and will recommend any changes regarding such status to the Board of Directors for approval.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A. </w:t>
      </w:r>
      <w:r>
        <w:rPr>
          <w:rFonts w:ascii="Times New Roman" w:cs="Times New Roman" w:eastAsia="Times New Roman" w:hAnsi="Times New Roman"/>
          <w:sz w:val="22"/>
          <w:szCs w:val="22"/>
          <w:b w:val="1"/>
          <w:bCs w:val="1"/>
          <w:i w:val="1"/>
          <w:iCs w:val="1"/>
          <w:color w:val="auto"/>
        </w:rPr>
        <w:t>Pre-Clearance of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-10160</wp:posOffset>
            </wp:positionV>
            <wp:extent cx="142811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92"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All purchases and sales of equity securities of the Company by Section 16 Insiders, other than transactions pursuant to a Rule 10b5-1 plan approved in accordance with this Policy, must be pre-cleared by the Compliance Officer. This applies even during an open trading window. The intent of this requirement is to prevent inadvertent violations of the Policy, avoid trades involving the appearance of improper insider trading, and facilitate timely Form 4 reporting in accordance with Section 16(a) of the Exchange Act.</w:t>
      </w:r>
    </w:p>
    <w:p>
      <w:pPr>
        <w:spacing w:after="0" w:line="177" w:lineRule="exact"/>
        <w:rPr>
          <w:sz w:val="20"/>
          <w:szCs w:val="20"/>
          <w:color w:val="auto"/>
        </w:rPr>
      </w:pPr>
    </w:p>
    <w:p>
      <w:pPr>
        <w:ind w:right="500" w:firstLine="749"/>
        <w:spacing w:after="0" w:line="239" w:lineRule="auto"/>
        <w:rPr>
          <w:sz w:val="20"/>
          <w:szCs w:val="20"/>
          <w:color w:val="auto"/>
        </w:rPr>
      </w:pPr>
      <w:r>
        <w:rPr>
          <w:rFonts w:ascii="Times New Roman" w:cs="Times New Roman" w:eastAsia="Times New Roman" w:hAnsi="Times New Roman"/>
          <w:sz w:val="22"/>
          <w:szCs w:val="22"/>
          <w:color w:val="auto"/>
        </w:rPr>
        <w:t>Requests for pre-clearance must be submitted to the Compliance Officer at cco@jiayinfintech.cn at least two (2) business days in advance of each proposed transaction. If the Section 16 Insider submits the request by email and does not receive a response from the Compliance Officer within twenty-four (24) hours (not including weekend days), the Section 16 Insider will be responsible for following up to ensure that the message was received.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request for pre-clearance should provide the following information:</w:t>
      </w:r>
    </w:p>
    <w:p>
      <w:pPr>
        <w:spacing w:after="0" w:line="206" w:lineRule="exact"/>
        <w:rPr>
          <w:sz w:val="20"/>
          <w:szCs w:val="20"/>
          <w:color w:val="auto"/>
        </w:rPr>
      </w:pPr>
    </w:p>
    <w:p>
      <w:pPr>
        <w:ind w:left="1500" w:hanging="369"/>
        <w:spacing w:after="0"/>
        <w:tabs>
          <w:tab w:leader="none" w:pos="1500"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of the proposed transaction, the expected date of the transaction, and the number of shares involved;</w:t>
      </w:r>
    </w:p>
    <w:p>
      <w:pPr>
        <w:spacing w:after="0" w:line="217" w:lineRule="exact"/>
        <w:rPr>
          <w:rFonts w:ascii="Times New Roman" w:cs="Times New Roman" w:eastAsia="Times New Roman" w:hAnsi="Times New Roman"/>
          <w:sz w:val="21"/>
          <w:szCs w:val="21"/>
          <w:color w:val="auto"/>
        </w:rPr>
      </w:pPr>
    </w:p>
    <w:p>
      <w:pPr>
        <w:ind w:left="1500" w:hanging="369"/>
        <w:spacing w:after="0" w:line="258" w:lineRule="auto"/>
        <w:tabs>
          <w:tab w:leader="none" w:pos="15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involves an option exercise, the specific option to be exercised and the manner of exercise (e.g., “same-day sale” or “cashless exercise”);</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will execute the transaction; and</w:t>
      </w:r>
    </w:p>
    <w:p>
      <w:pPr>
        <w:spacing w:after="0" w:line="206" w:lineRule="exact"/>
        <w:rPr>
          <w:rFonts w:ascii="Times New Roman" w:cs="Times New Roman" w:eastAsia="Times New Roman" w:hAnsi="Times New Roman"/>
          <w:sz w:val="22"/>
          <w:szCs w:val="22"/>
          <w:color w:val="auto"/>
        </w:rPr>
      </w:pPr>
    </w:p>
    <w:p>
      <w:pPr>
        <w:ind w:left="1500" w:right="20" w:hanging="369"/>
        <w:spacing w:after="0" w:line="258" w:lineRule="auto"/>
        <w:tabs>
          <w:tab w:leader="none" w:pos="15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Certification to the Compliance Officer by the Section 16 Insider that the Section 16 Insider is not in possession of material nonpublic information concerning the Company.</w:t>
      </w:r>
    </w:p>
    <w:p>
      <w:pPr>
        <w:spacing w:after="0" w:line="158"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Once the proposed transaction is pre-cleared, the Section 16 Insider may proceed with it during an open window and within two (2) Trading Days on the approved terms, provided that he or she complies with all other securities law requirements, such as (if applicable to the Section 16 Insider) the requirements of Rule 144 under the U.S. Securities Act of 1933, as amended, and with any limited trading periods declared by the Compliance Officer prior to the completion of the trade. If the transaction does not occur with the two-Trading-Day period following pre-clearance, the Section 16 Insider must re-request pre-clearance. A Section 16 Insider and his or her broker will be responsible for immediately reporting the results of the transaction as further described below.</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ind w:firstLine="749"/>
        <w:spacing w:after="0" w:line="238" w:lineRule="auto"/>
        <w:rPr>
          <w:sz w:val="20"/>
          <w:szCs w:val="20"/>
          <w:color w:val="auto"/>
        </w:rPr>
      </w:pPr>
      <w:r>
        <w:rPr>
          <w:rFonts w:ascii="Times New Roman" w:cs="Times New Roman" w:eastAsia="Times New Roman" w:hAnsi="Times New Roman"/>
          <w:sz w:val="22"/>
          <w:szCs w:val="22"/>
          <w:color w:val="auto"/>
        </w:rPr>
        <w:t>In addition, pre-clearance is required for the establishment, modification or termination of a Rule 10b5-1 plan (see Section IV above). However, pre-clearance will not be required for individual transactions effected pursuant to a pre-cleared Rule 10b5-1 plan that specifies or establishes a formula for determining the dates, prices and amounts of planned trades. Of course, the results of transactions effected by a Section 16 Insider under a Rule 10b5-1 plan must be reported immediately to the Company since they will be reportable on Form 4 within two (2) business days following the execution of the trade.</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b w:val="1"/>
          <w:bCs w:val="1"/>
          <w:i w:val="1"/>
          <w:iCs w:val="1"/>
          <w:u w:val="single" w:color="auto"/>
          <w:color w:val="auto"/>
        </w:rPr>
        <w:t>Reporting of Transactions</w:t>
      </w:r>
    </w:p>
    <w:p>
      <w:pPr>
        <w:spacing w:after="0" w:line="212"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21"/>
          <w:szCs w:val="21"/>
          <w:color w:val="auto"/>
        </w:rPr>
        <w:t>To facilitate timely reporting under Section 16(a) of the Exchange Act of Section 16 Insiders’ transactions in the Company’s equity securities, Section 16 Insiders are required to (i) report the details of each transaction immediately after it is executed and (ii) arrange with persons whose trades must be reported by the Section 16 Insider under Section 16(a) (such as immediate family members living in the Section 16 Insider’s household) to immediately report directly to the Company and to the Section 16 Insider the details of any transactions they have in equity securities of the Company. Immediate family members of a Section 16 Insider include his or her child, stepchild, grandchild, parent, stepparent, grandparent, spouse, sibling, mother-in-law, father-in-law, son-in-law, daughter-in-law, brother-in-law, or sister-in-law, and shall include adoptive relationships.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Transaction details to be reported include:</w:t>
      </w:r>
    </w:p>
    <w:p>
      <w:pPr>
        <w:spacing w:after="0" w:line="206" w:lineRule="exact"/>
        <w:rPr>
          <w:sz w:val="20"/>
          <w:szCs w:val="20"/>
          <w:color w:val="auto"/>
        </w:rPr>
      </w:pPr>
    </w:p>
    <w:p>
      <w:pPr>
        <w:ind w:left="1500" w:hanging="369"/>
        <w:spacing w:after="0"/>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commissions and other transaction fees);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was an option exercise, the specific option exercised;</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 and</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specific representation whether the transaction was intended to satisfy the affirmative defense conditions of Rule 10b5-1(c)</w:t>
      </w:r>
    </w:p>
    <w:p>
      <w:pPr>
        <w:spacing w:after="0" w:line="1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The transaction details must be reported to the Compliance Officer at cco@jiayinfintech.cn, with copies to the Company personnel who will assist the Section 16 Insider in preparing his or her Form 4.</w:t>
      </w:r>
    </w:p>
    <w:p>
      <w:pPr>
        <w:spacing w:after="0" w:line="158"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Most transactions in equity securities of the Company by Section 16 Insiders (including all purchases, sales, gifts, pledge, trades pursuant to Rule 10b5-1 plan, among others) are subject to reporting on Form 4 within two (2) business days following the transaction date (which in the case of an open market trade is the date when the broker places the buy or sell order, not the date when the trade is settled). To facilitate timely reporting, all transactions that are subject to Section 16(a) must be reported to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ind w:right="80"/>
        <w:spacing w:after="0" w:line="258" w:lineRule="auto"/>
        <w:rPr>
          <w:sz w:val="20"/>
          <w:szCs w:val="20"/>
          <w:color w:val="auto"/>
        </w:rPr>
      </w:pPr>
      <w:r>
        <w:rPr>
          <w:rFonts w:ascii="Times New Roman" w:cs="Times New Roman" w:eastAsia="Times New Roman" w:hAnsi="Times New Roman"/>
          <w:sz w:val="22"/>
          <w:szCs w:val="22"/>
          <w:color w:val="auto"/>
        </w:rPr>
        <w:t>Company on the same day as the trade date, or, with respect to transactions effected pursuant to a Rule 10b5-1 plan, on the day the Section 16 Insider is advised of the terms of the transaction.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C. </w:t>
      </w:r>
      <w:r>
        <w:rPr>
          <w:rFonts w:ascii="Times New Roman" w:cs="Times New Roman" w:eastAsia="Times New Roman" w:hAnsi="Times New Roman"/>
          <w:sz w:val="22"/>
          <w:szCs w:val="22"/>
          <w:b w:val="1"/>
          <w:bCs w:val="1"/>
          <w:i w:val="1"/>
          <w:iCs w:val="1"/>
          <w:color w:val="auto"/>
        </w:rPr>
        <w:t>Use of Knowledgeable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-10160</wp:posOffset>
            </wp:positionV>
            <wp:extent cx="17221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4">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spacing w:after="0" w:line="192"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Section 16 Insiders are encouraged to select one knowledgeable broker familiar with U.S. securities laws to effect all transactions in the Company’s securities, and that broker should become familiar with this Policy and the restrictions that apply to the Section 16 Insider’s transactions in the Company’s securities. Remember, however, that a broker has no legal responsibility for a client’s Section 16(a) filings. Therefore, the best protection will come from the Section 16 Insider’s own awareness of the requirements of this Policy and the possible pitfalls. However, use of the same broker familiar with this Policy will help you constantly monitor your compliance, not only with this Policy but also with your other securities laws obligations.</w:t>
      </w:r>
    </w:p>
    <w:p>
      <w:pPr>
        <w:spacing w:after="0" w:line="1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the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8" w:right="519" w:bottom="1440" w:gutter="0" w:footer="0" w:header="0"/>
        </w:sectPr>
      </w:pPr>
    </w:p>
    <w:bookmarkStart w:id="287" w:name="page288"/>
    <w:bookmarkEnd w:id="287"/>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Compliance Officer</w:t>
      </w:r>
    </w:p>
    <w:p>
      <w:pPr>
        <w:spacing w:after="0" w:line="2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1"/>
          <w:szCs w:val="21"/>
          <w:color w:val="auto"/>
        </w:rPr>
        <w:t>______________________________</w:t>
      </w:r>
    </w:p>
    <w:p>
      <w:pPr>
        <w:spacing w:after="0" w:line="206" w:lineRule="exact"/>
        <w:rPr>
          <w:sz w:val="20"/>
          <w:szCs w:val="20"/>
          <w:color w:val="auto"/>
        </w:rPr>
      </w:pPr>
    </w:p>
    <w:p>
      <w:pPr>
        <w:ind w:left="1500" w:right="100" w:hanging="1497"/>
        <w:spacing w:after="0" w:line="258" w:lineRule="auto"/>
        <w:rPr>
          <w:sz w:val="20"/>
          <w:szCs w:val="20"/>
          <w:color w:val="auto"/>
        </w:rPr>
      </w:pPr>
      <w:r>
        <w:rPr>
          <w:rFonts w:ascii="Times New Roman" w:cs="Times New Roman" w:eastAsia="Times New Roman" w:hAnsi="Times New Roman"/>
          <w:sz w:val="22"/>
          <w:szCs w:val="22"/>
          <w:color w:val="auto"/>
        </w:rPr>
        <w:t>RE: JIAYIN GROUP INC. STATEMENT OF POLICIES OF GOVERNING MATERIAL, NON-PUBLIC INFORMATION AND THE PREVENTION OF INSIDER TRADING</w:t>
      </w:r>
    </w:p>
    <w:p>
      <w:pPr>
        <w:spacing w:after="0" w:line="158" w:lineRule="exact"/>
        <w:rPr>
          <w:sz w:val="20"/>
          <w:szCs w:val="20"/>
          <w:color w:val="auto"/>
        </w:rPr>
      </w:pPr>
    </w:p>
    <w:p>
      <w:pPr>
        <w:ind w:left="380"/>
        <w:spacing w:after="0" w:line="244" w:lineRule="auto"/>
        <w:rPr>
          <w:sz w:val="20"/>
          <w:szCs w:val="20"/>
          <w:color w:val="auto"/>
        </w:rPr>
      </w:pPr>
      <w:r>
        <w:rPr>
          <w:rFonts w:ascii="Times New Roman" w:cs="Times New Roman" w:eastAsia="Times New Roman" w:hAnsi="Times New Roman"/>
          <w:sz w:val="22"/>
          <w:szCs w:val="22"/>
          <w:color w:val="auto"/>
        </w:rPr>
        <w:t>I have received, reviewed, and understand the above-referenced Statement of Policies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and hereby undertake, as a condition to my present and continued employment at or association with Jiayin Group Inc., to comply fully with the Policy.</w:t>
      </w:r>
    </w:p>
    <w:p>
      <w:pPr>
        <w:spacing w:after="0" w:line="173" w:lineRule="exact"/>
        <w:rPr>
          <w:sz w:val="20"/>
          <w:szCs w:val="20"/>
          <w:color w:val="auto"/>
        </w:rPr>
      </w:pPr>
    </w:p>
    <w:p>
      <w:pPr>
        <w:ind w:left="380" w:right="240"/>
        <w:spacing w:after="0" w:line="258" w:lineRule="auto"/>
        <w:rPr>
          <w:sz w:val="20"/>
          <w:szCs w:val="20"/>
          <w:color w:val="auto"/>
        </w:rPr>
      </w:pPr>
      <w:r>
        <w:rPr>
          <w:rFonts w:ascii="Times New Roman" w:cs="Times New Roman" w:eastAsia="Times New Roman" w:hAnsi="Times New Roman"/>
          <w:sz w:val="22"/>
          <w:szCs w:val="22"/>
          <w:color w:val="auto"/>
        </w:rPr>
        <w:t>I hereby certify that I have adhered to the Policy during the time period that I have been employed by or associated with Jiayin Group Inc.</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 agree to adhere to the Policy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3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4" w:right="57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Dinggui Yan, certify that:</w:t>
      </w:r>
    </w:p>
    <w:p>
      <w:pPr>
        <w:spacing w:after="0" w:line="198" w:lineRule="exact"/>
        <w:rPr>
          <w:sz w:val="20"/>
          <w:szCs w:val="20"/>
          <w:color w:val="auto"/>
        </w:rPr>
      </w:pPr>
    </w:p>
    <w:p>
      <w:pPr>
        <w:ind w:left="940" w:hanging="183"/>
        <w:spacing w:after="0"/>
        <w:tabs>
          <w:tab w:leader="none" w:pos="94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Jiayin Group Inc. (the “Company”);</w:t>
      </w:r>
    </w:p>
    <w:p>
      <w:pPr>
        <w:spacing w:after="0" w:line="184" w:lineRule="exact"/>
        <w:rPr>
          <w:rFonts w:ascii="Times New Roman" w:cs="Times New Roman" w:eastAsia="Times New Roman" w:hAnsi="Times New Roman"/>
          <w:sz w:val="18"/>
          <w:szCs w:val="18"/>
          <w:color w:val="auto"/>
        </w:rPr>
      </w:pPr>
    </w:p>
    <w:p>
      <w:pPr>
        <w:ind w:right="100" w:firstLine="757"/>
        <w:spacing w:after="0" w:line="266" w:lineRule="auto"/>
        <w:tabs>
          <w:tab w:leader="none" w:pos="92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60" w:firstLine="757"/>
        <w:spacing w:after="0" w:line="282" w:lineRule="auto"/>
        <w:tabs>
          <w:tab w:leader="none" w:pos="92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right="120" w:firstLine="757"/>
        <w:spacing w:after="0" w:line="266" w:lineRule="auto"/>
        <w:tabs>
          <w:tab w:leader="none" w:pos="92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left="1140" w:right="80" w:hanging="758"/>
        <w:spacing w:after="0" w:line="266" w:lineRule="auto"/>
        <w:tabs>
          <w:tab w:leader="none" w:pos="11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758"/>
        <w:spacing w:after="0" w:line="266" w:lineRule="auto"/>
        <w:tabs>
          <w:tab w:leader="none" w:pos="11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140" w:right="380" w:hanging="758"/>
        <w:spacing w:after="0" w:line="312" w:lineRule="auto"/>
        <w:tabs>
          <w:tab w:leader="none" w:pos="114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240" w:hanging="758"/>
        <w:spacing w:after="0" w:line="266" w:lineRule="auto"/>
        <w:tabs>
          <w:tab w:leader="none" w:pos="11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right="80" w:firstLine="757"/>
        <w:spacing w:after="0" w:line="282" w:lineRule="auto"/>
        <w:tabs>
          <w:tab w:leader="none" w:pos="92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left="1140" w:right="620" w:hanging="758"/>
        <w:spacing w:after="0" w:line="282" w:lineRule="auto"/>
        <w:tabs>
          <w:tab w:leader="none" w:pos="11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280" w:hanging="758"/>
        <w:spacing w:after="0" w:line="282" w:lineRule="auto"/>
        <w:tabs>
          <w:tab w:leader="none" w:pos="11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89" w:name="page290"/>
    <w:bookmarkEnd w:id="289"/>
    <w:p>
      <w:pPr>
        <w:ind w:left="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Dinggui Yan</w:t>
            </w:r>
          </w:p>
        </w:tc>
      </w:tr>
      <w:tr>
        <w:trPr>
          <w:trHeight w:val="205"/>
        </w:trPr>
        <w:tc>
          <w:tcPr>
            <w:tcW w:w="1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Dinggui Yan</w:t>
            </w:r>
          </w:p>
        </w:tc>
        <w:tc>
          <w:tcPr>
            <w:tcW w:w="6760" w:type="dxa"/>
            <w:vAlign w:val="bottom"/>
          </w:tcPr>
          <w:p>
            <w:pPr>
              <w:spacing w:after="0"/>
              <w:rPr>
                <w:sz w:val="17"/>
                <w:szCs w:val="17"/>
                <w:color w:val="auto"/>
              </w:rPr>
            </w:pP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10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Chunlin Fan, certify that:</w:t>
      </w:r>
    </w:p>
    <w:p>
      <w:pPr>
        <w:spacing w:after="0" w:line="198" w:lineRule="exact"/>
        <w:rPr>
          <w:sz w:val="20"/>
          <w:szCs w:val="20"/>
          <w:color w:val="auto"/>
        </w:rPr>
      </w:pPr>
    </w:p>
    <w:p>
      <w:pPr>
        <w:ind w:left="940" w:hanging="183"/>
        <w:spacing w:after="0"/>
        <w:tabs>
          <w:tab w:leader="none" w:pos="9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Jiayin Group Inc. (the “Company”);</w:t>
      </w:r>
    </w:p>
    <w:p>
      <w:pPr>
        <w:spacing w:after="0" w:line="184" w:lineRule="exact"/>
        <w:rPr>
          <w:rFonts w:ascii="Times New Roman" w:cs="Times New Roman" w:eastAsia="Times New Roman" w:hAnsi="Times New Roman"/>
          <w:sz w:val="18"/>
          <w:szCs w:val="18"/>
          <w:color w:val="auto"/>
        </w:rPr>
      </w:pPr>
    </w:p>
    <w:p>
      <w:pPr>
        <w:ind w:right="100" w:firstLine="757"/>
        <w:spacing w:after="0" w:line="266" w:lineRule="auto"/>
        <w:tabs>
          <w:tab w:leader="none" w:pos="92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right="60" w:firstLine="757"/>
        <w:spacing w:after="0" w:line="282" w:lineRule="auto"/>
        <w:tabs>
          <w:tab w:leader="none" w:pos="92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right="120" w:firstLine="757"/>
        <w:spacing w:after="0" w:line="266" w:lineRule="auto"/>
        <w:tabs>
          <w:tab w:leader="none" w:pos="92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left="1140" w:right="80" w:hanging="758"/>
        <w:spacing w:after="0" w:line="266" w:lineRule="auto"/>
        <w:tabs>
          <w:tab w:leader="none" w:pos="11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758"/>
        <w:spacing w:after="0" w:line="266" w:lineRule="auto"/>
        <w:tabs>
          <w:tab w:leader="none" w:pos="11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140" w:right="380" w:hanging="758"/>
        <w:spacing w:after="0" w:line="312" w:lineRule="auto"/>
        <w:tabs>
          <w:tab w:leader="none" w:pos="114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140" w:right="240" w:hanging="758"/>
        <w:spacing w:after="0" w:line="266" w:lineRule="auto"/>
        <w:tabs>
          <w:tab w:leader="none" w:pos="11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right="80" w:firstLine="757"/>
        <w:spacing w:after="0" w:line="282" w:lineRule="auto"/>
        <w:tabs>
          <w:tab w:leader="none" w:pos="92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5" w:lineRule="exact"/>
        <w:rPr>
          <w:sz w:val="20"/>
          <w:szCs w:val="20"/>
          <w:color w:val="auto"/>
        </w:rPr>
      </w:pPr>
    </w:p>
    <w:p>
      <w:pPr>
        <w:ind w:left="1140" w:right="620" w:hanging="758"/>
        <w:spacing w:after="0" w:line="282" w:lineRule="auto"/>
        <w:tabs>
          <w:tab w:leader="none" w:pos="11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140" w:right="280" w:hanging="758"/>
        <w:spacing w:after="0" w:line="282" w:lineRule="auto"/>
        <w:tabs>
          <w:tab w:leader="none" w:pos="11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91" w:name="page292"/>
    <w:bookmarkEnd w:id="291"/>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Chunlin Fan</w:t>
            </w:r>
          </w:p>
        </w:tc>
      </w:tr>
      <w:tr>
        <w:trPr>
          <w:trHeight w:val="205"/>
        </w:trPr>
        <w:tc>
          <w:tcPr>
            <w:tcW w:w="1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Chunlin Fan</w:t>
            </w:r>
          </w:p>
        </w:tc>
        <w:tc>
          <w:tcPr>
            <w:tcW w:w="6760" w:type="dxa"/>
            <w:vAlign w:val="bottom"/>
          </w:tcPr>
          <w:p>
            <w:pPr>
              <w:spacing w:after="0"/>
              <w:rPr>
                <w:sz w:val="17"/>
                <w:szCs w:val="17"/>
                <w:color w:val="auto"/>
              </w:rPr>
            </w:pP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10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Jiayin Group Inc. (the “Company”) on Form 20-F for the year ended December 31, 2025 as filed with the Securities and Exchange Commission on the date hereof (the “Report”), I, Dinggui Yan,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140" w:hanging="758"/>
        <w:spacing w:after="0"/>
        <w:tabs>
          <w:tab w:leader="none" w:pos="11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Dinggui Yan</w:t>
            </w:r>
          </w:p>
        </w:tc>
      </w:tr>
      <w:tr>
        <w:trPr>
          <w:trHeight w:val="205"/>
        </w:trPr>
        <w:tc>
          <w:tcPr>
            <w:tcW w:w="9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Dinggui Yan</w:t>
            </w:r>
          </w:p>
        </w:tc>
        <w:tc>
          <w:tcPr>
            <w:tcW w:w="6180" w:type="dxa"/>
            <w:vAlign w:val="bottom"/>
          </w:tcPr>
          <w:p>
            <w:pPr>
              <w:spacing w:after="0"/>
              <w:rPr>
                <w:sz w:val="17"/>
                <w:szCs w:val="17"/>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843"/>
        </w:trPr>
        <w:tc>
          <w:tcPr>
            <w:tcW w:w="9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6"/>
          <w:szCs w:val="16"/>
          <w:b w:val="1"/>
          <w:bCs w:val="1"/>
          <w:color w:val="auto"/>
        </w:rPr>
        <w:t>Exhibits 13.2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Jiayin Group Inc. (the “Company”) on Form 20-F for the year ended December 31, 2025 as filed with the Securities and Exchange Commission on the date hereof (the “Report”), I, Chunlin Fan,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140" w:hanging="758"/>
        <w:spacing w:after="0"/>
        <w:tabs>
          <w:tab w:leader="none" w:pos="11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40" w:right="440" w:hanging="758"/>
        <w:spacing w:after="0" w:line="282" w:lineRule="auto"/>
        <w:tabs>
          <w:tab w:leader="none" w:pos="11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2026</w:t>
            </w:r>
          </w:p>
        </w:tc>
      </w:tr>
      <w:tr>
        <w:trPr>
          <w:trHeight w:val="43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Chunlin Fan</w:t>
            </w:r>
          </w:p>
        </w:tc>
      </w:tr>
      <w:tr>
        <w:trPr>
          <w:trHeight w:val="205"/>
        </w:trPr>
        <w:tc>
          <w:tcPr>
            <w:tcW w:w="1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Chunlin Fan</w:t>
            </w:r>
          </w:p>
        </w:tc>
        <w:tc>
          <w:tcPr>
            <w:tcW w:w="6300" w:type="dxa"/>
            <w:vAlign w:val="bottom"/>
          </w:tcPr>
          <w:p>
            <w:pPr>
              <w:spacing w:after="0"/>
              <w:rPr>
                <w:sz w:val="17"/>
                <w:szCs w:val="17"/>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7"/>
        </w:trPr>
        <w:tc>
          <w:tcPr>
            <w:tcW w:w="10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822960" cy="77978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Our ref  </w:t>
      </w:r>
      <w:r>
        <w:rPr>
          <w:rFonts w:ascii="Times New Roman" w:cs="Times New Roman" w:eastAsia="Times New Roman" w:hAnsi="Times New Roman"/>
          <w:sz w:val="19"/>
          <w:szCs w:val="19"/>
          <w:color w:val="auto"/>
        </w:rPr>
        <w:t>SQG/745172-000001/86468544v1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Jiayin Group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18th Floor, Building No. 1, Youyou Century Plaza</w:t>
      </w:r>
    </w:p>
    <w:p>
      <w:pPr>
        <w:spacing w:after="0" w:line="237" w:lineRule="auto"/>
        <w:rPr>
          <w:sz w:val="20"/>
          <w:szCs w:val="20"/>
          <w:color w:val="auto"/>
        </w:rPr>
      </w:pPr>
      <w:r>
        <w:rPr>
          <w:rFonts w:ascii="Times New Roman" w:cs="Times New Roman" w:eastAsia="Times New Roman" w:hAnsi="Times New Roman"/>
          <w:sz w:val="19"/>
          <w:szCs w:val="19"/>
          <w:color w:val="auto"/>
        </w:rPr>
        <w:t>428 South Yanggao Road, Pudong New Area</w:t>
      </w:r>
    </w:p>
    <w:p>
      <w:pPr>
        <w:spacing w:after="0" w:line="237" w:lineRule="auto"/>
        <w:rPr>
          <w:sz w:val="20"/>
          <w:szCs w:val="20"/>
          <w:color w:val="auto"/>
        </w:rPr>
      </w:pPr>
      <w:r>
        <w:rPr>
          <w:rFonts w:ascii="Times New Roman" w:cs="Times New Roman" w:eastAsia="Times New Roman" w:hAnsi="Times New Roman"/>
          <w:sz w:val="19"/>
          <w:szCs w:val="19"/>
          <w:color w:val="auto"/>
        </w:rPr>
        <w:t>Shanghai 200122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People’s Republic of China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28 April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Sirs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Jiayin Group Inc.</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have acted as legal advisers as to the laws of the Cayman Islands to Jiayin Group Inc., an exempted company incorporated in the Cayman Islands with limited liability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in connection with the filing by the Company with the United States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of an annual report on Form 20-F for the year ended 31 December 2025 (the “</w:t>
      </w:r>
      <w:r>
        <w:rPr>
          <w:rFonts w:ascii="Times New Roman" w:cs="Times New Roman" w:eastAsia="Times New Roman" w:hAnsi="Times New Roman"/>
          <w:sz w:val="19"/>
          <w:szCs w:val="19"/>
          <w:b w:val="1"/>
          <w:bCs w:val="1"/>
          <w:color w:val="auto"/>
        </w:rPr>
        <w:t>Annual Report</w:t>
      </w:r>
      <w:r>
        <w:rPr>
          <w:rFonts w:ascii="Times New Roman" w:cs="Times New Roman" w:eastAsia="Times New Roman" w:hAnsi="Times New Roman"/>
          <w:sz w:val="19"/>
          <w:szCs w:val="19"/>
          <w:color w:val="auto"/>
        </w:rPr>
        <w:t>”).</w:t>
      </w:r>
    </w:p>
    <w:p>
      <w:pPr>
        <w:spacing w:after="0" w:line="3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hereby consent to the reference to our firm under the heading “Item 10. Additional Information—E. Taxation—Cayman Islands Taxation” in the Annual Report. We further consent to the incorporation by reference of the summary of our opinion under the heading “Item 10. Additional Information—E. Taxation—Cayman Islands Taxation” in the Annual Report, into (a) the Company’s Registration Statement on Form S-8 (Nos. 333-233615 and 333-286790) pertaining to the Company’s 2019 Share Incentive Plan, and (b) the Company’s Registration Statement on Form F-3 (No. 333-279990).</w:t>
      </w:r>
    </w:p>
    <w:p>
      <w:pPr>
        <w:spacing w:after="0" w:line="200" w:lineRule="exact"/>
        <w:rPr>
          <w:sz w:val="20"/>
          <w:szCs w:val="20"/>
          <w:color w:val="auto"/>
        </w:rPr>
      </w:pP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Maples and Calder (Hong Kong)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1793875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5400675" cy="116586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5400675" cy="116586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1688465" cy="4718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1688465" cy="4718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13970</wp:posOffset>
            </wp:positionV>
            <wp:extent cx="1508760" cy="10204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150876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28,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Jiayin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18th Floor, Building No. 1, Youyou Century Plaza</w:t>
      </w:r>
    </w:p>
    <w:p>
      <w:pPr>
        <w:spacing w:after="0" w:line="230" w:lineRule="auto"/>
        <w:rPr>
          <w:sz w:val="20"/>
          <w:szCs w:val="20"/>
          <w:color w:val="auto"/>
        </w:rPr>
      </w:pPr>
      <w:r>
        <w:rPr>
          <w:rFonts w:ascii="Times New Roman" w:cs="Times New Roman" w:eastAsia="Times New Roman" w:hAnsi="Times New Roman"/>
          <w:sz w:val="22"/>
          <w:szCs w:val="22"/>
          <w:color w:val="auto"/>
        </w:rPr>
        <w:t>428 South Yanggao Road, Pudong, New Area, Shanghai 200122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People’s Republic of China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The Board of Directors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 or Madam,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Jiayin Group Inc.</w:t>
      </w:r>
    </w:p>
    <w:p>
      <w:pPr>
        <w:spacing w:after="0" w:line="23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King &amp; Wood, consent to the reference to our firm under the captions of “Item 3. Key Information—Approvals Required from the PRC Authorities for Offering Securities to Foreign Investors” “Item 3.D—Risk Factors—Risks Relating to Our Corporate Structure” “Item 4.C—Organizational Structure” and “Item 10.E—Taxation—People’s Republic of China Tax Considerations” in the annual report of Jiayin Group Inc. (the “Company”) on Form 20-F for the year ended December 31, 2025 (the “Annual Report”), which will be filed with the Securities and Exchange Commission on the date hereof. We further consent to the incorporation by reference of the summary of our opinion under the captions of “Item 3. Key Information—Approvals Required from the PRC Authorities for Offering Securities to Foreign Investors” “Item 3.D—Risk Factors—Risks Relating to Our Corporate Structure” “Item 4.C—Organizational Structure” and “Item 10.E—Taxation—People’s Republic of China Tax Considerations” in the Annual Report into (a) the Company’s Registration Statement on Form S-8 (Nos. 333-233615 and 333-286790) pertaining to the Company’s 2019 Share Incentive Plan, and (b) the Company’s Registration Statement on Form F-3 (No. 333-279990).</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faithfully,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21"/>
          <w:szCs w:val="21"/>
          <w:color w:val="auto"/>
        </w:rPr>
        <w:t>King &amp; Wood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 &amp;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1506855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5151755" cy="7372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5151755" cy="73723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1"/>
          <w:szCs w:val="21"/>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14605</wp:posOffset>
            </wp:positionV>
            <wp:extent cx="5366385" cy="121729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536638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333-279990 on Form F-3 and Registration Statement Nos. 333-233615 and 333-286790 on Form S-8 of our reports dated April 28, 2026, relating to the financial statements of Jiayin Group Inc. and the effectiveness of Jiayin Group Inc.'s internal control over financial reporting appearing in this Annual Report on Form 20-F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1442085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280035</wp:posOffset>
            </wp:positionV>
            <wp:extent cx="6172200" cy="87439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6172200" cy="87439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sectPr>
      </w:pPr>
    </w:p>
    <w:bookmarkStart w:id="297" w:name="page298"/>
    <w:bookmarkEnd w:id="2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16F8C4"/>
    <w:multiLevelType w:val="hybridMultilevel"/>
    <w:lvl w:ilvl="0">
      <w:lvlJc w:val="left"/>
      <w:lvlText w:val="☐"/>
      <w:numFmt w:val="bullet"/>
      <w:start w:val="1"/>
    </w:lvl>
  </w:abstractNum>
  <w:abstractNum w:abstractNumId="1">
    <w:nsid w:val="37DF2233"/>
    <w:multiLevelType w:val="hybridMultilevel"/>
    <w:lvl w:ilvl="0">
      <w:lvlJc w:val="left"/>
      <w:lvlText w:val="☒"/>
      <w:numFmt w:val="bullet"/>
      <w:start w:val="1"/>
    </w:lvl>
  </w:abstractNum>
  <w:abstractNum w:abstractNumId="2">
    <w:nsid w:val="7AB49DAF"/>
    <w:multiLevelType w:val="hybridMultilevel"/>
    <w:lvl w:ilvl="0">
      <w:lvlJc w:val="left"/>
      <w:lvlText w:val="☐"/>
      <w:numFmt w:val="bullet"/>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
      <w:numFmt w:val="bullet"/>
      <w:start w:val="1"/>
    </w:lvl>
  </w:abstractNum>
  <w:abstractNum w:abstractNumId="5">
    <w:nsid w:val="597B4D84"/>
    <w:multiLevelType w:val="hybridMultilevel"/>
    <w:lvl w:ilvl="0">
      <w:lvlJc w:val="left"/>
      <w:lvlText w:val="•"/>
      <w:numFmt w:val="bullet"/>
      <w:start w:val="1"/>
    </w:lvl>
  </w:abstractNum>
  <w:abstractNum w:abstractNumId="6">
    <w:nsid w:val="F819E7F"/>
    <w:multiLevelType w:val="hybridMultilevel"/>
    <w:lvl w:ilvl="0">
      <w:lvlJc w:val="left"/>
      <w:lvlText w:val="•"/>
      <w:numFmt w:val="bullet"/>
      <w:start w:val="1"/>
    </w:lvl>
  </w:abstractNum>
  <w:abstractNum w:abstractNumId="7">
    <w:nsid w:val="57C7D42D"/>
    <w:multiLevelType w:val="hybridMultilevel"/>
    <w:lvl w:ilvl="0">
      <w:lvlJc w:val="left"/>
      <w:lvlText w:val="(%1)"/>
      <w:numFmt w:val="decimal"/>
      <w:start w:val="1"/>
    </w:lvl>
  </w:abstractNum>
  <w:abstractNum w:abstractNumId="8">
    <w:nsid w:val="312167AD"/>
    <w:multiLevelType w:val="hybridMultilevel"/>
    <w:lvl w:ilvl="0">
      <w:lvlJc w:val="left"/>
      <w:lvlText w:val="(%1)"/>
      <w:numFmt w:val="decimal"/>
      <w:start w:val="3"/>
    </w:lvl>
  </w:abstractNum>
  <w:abstractNum w:abstractNumId="9">
    <w:nsid w:val="631B64D4"/>
    <w:multiLevelType w:val="hybridMultilevel"/>
    <w:lvl w:ilvl="0">
      <w:lvlJc w:val="left"/>
      <w:lvlText w:val="•"/>
      <w:numFmt w:val="bullet"/>
      <w:start w:val="1"/>
    </w:lvl>
  </w:abstractNum>
  <w:abstractNum w:abstractNumId="10">
    <w:nsid w:val="78B5E776"/>
    <w:multiLevelType w:val="hybridMultilevel"/>
    <w:lvl w:ilvl="0">
      <w:lvlJc w:val="left"/>
      <w:lvlText w:val="*"/>
      <w:numFmt w:val="bullet"/>
      <w:start w:val="1"/>
    </w:lvl>
  </w:abstractNum>
  <w:abstractNum w:abstractNumId="11">
    <w:nsid w:val="75486E47"/>
    <w:multiLevelType w:val="hybridMultilevel"/>
    <w:lvl w:ilvl="0">
      <w:lvlJc w:val="left"/>
      <w:lvlText w:val="•"/>
      <w:numFmt w:val="bullet"/>
      <w:start w:val="1"/>
    </w:lvl>
  </w:abstractNum>
  <w:abstractNum w:abstractNumId="12">
    <w:nsid w:val="6E534CDE"/>
    <w:multiLevelType w:val="hybridMultilevel"/>
    <w:lvl w:ilvl="0">
      <w:lvlJc w:val="left"/>
      <w:lvlText w:val="•"/>
      <w:numFmt w:val="bullet"/>
      <w:start w:val="1"/>
    </w:lvl>
  </w:abstractNum>
  <w:abstractNum w:abstractNumId="13">
    <w:nsid w:val="1A0DDE32"/>
    <w:multiLevelType w:val="hybridMultilevel"/>
    <w:lvl w:ilvl="0">
      <w:lvlJc w:val="left"/>
      <w:lvlText w:val="•"/>
      <w:numFmt w:val="bullet"/>
      <w:start w:val="1"/>
    </w:lvl>
  </w:abstractNum>
  <w:abstractNum w:abstractNumId="14">
    <w:nsid w:val="65968C1C"/>
    <w:multiLevelType w:val="hybridMultilevel"/>
    <w:lvl w:ilvl="0">
      <w:lvlJc w:val="left"/>
      <w:lvlText w:val="(%1)"/>
      <w:numFmt w:val="lowerLetter"/>
      <w:start w:val="5"/>
    </w:lvl>
  </w:abstractNum>
  <w:abstractNum w:abstractNumId="15">
    <w:nsid w:val="46263DEC"/>
    <w:multiLevelType w:val="hybridMultilevel"/>
    <w:lvl w:ilvl="0">
      <w:lvlJc w:val="left"/>
      <w:lvlText w:val="%1."/>
      <w:numFmt w:val="upperLetter"/>
      <w:start w:val="1"/>
    </w:lvl>
  </w:abstractNum>
  <w:abstractNum w:abstractNumId="16">
    <w:nsid w:val="260D8C4A"/>
    <w:multiLevelType w:val="hybridMultilevel"/>
    <w:lvl w:ilvl="0">
      <w:lvlJc w:val="left"/>
      <w:lvlText w:val="%1."/>
      <w:numFmt w:val="upperLetter"/>
      <w:start w:val="2"/>
    </w:lvl>
  </w:abstractNum>
  <w:abstractNum w:abstractNumId="17">
    <w:nsid w:val="73D4D3C4"/>
    <w:multiLevelType w:val="hybridMultilevel"/>
    <w:lvl w:ilvl="0">
      <w:lvlJc w:val="left"/>
      <w:lvlText w:val="•"/>
      <w:numFmt w:val="bullet"/>
      <w:start w:val="1"/>
    </w:lvl>
  </w:abstractNum>
  <w:abstractNum w:abstractNumId="18">
    <w:nsid w:val="746F2E30"/>
    <w:multiLevelType w:val="hybridMultilevel"/>
    <w:lvl w:ilvl="0">
      <w:lvlJc w:val="left"/>
      <w:lvlText w:val="•"/>
      <w:numFmt w:val="bullet"/>
      <w:start w:val="1"/>
    </w:lvl>
  </w:abstractNum>
  <w:abstractNum w:abstractNumId="19">
    <w:nsid w:val="6FDE8AF6"/>
    <w:multiLevelType w:val="hybridMultilevel"/>
    <w:lvl w:ilvl="0">
      <w:lvlJc w:val="left"/>
      <w:lvlText w:val="•"/>
      <w:numFmt w:val="bullet"/>
      <w:start w:val="1"/>
    </w:lvl>
  </w:abstractNum>
  <w:abstractNum w:abstractNumId="20">
    <w:nsid w:val="3FC32E20"/>
    <w:multiLevelType w:val="hybridMultilevel"/>
    <w:lvl w:ilvl="0">
      <w:lvlJc w:val="left"/>
      <w:lvlText w:val="•"/>
      <w:numFmt w:val="bullet"/>
      <w:start w:val="1"/>
    </w:lvl>
  </w:abstractNum>
  <w:abstractNum w:abstractNumId="21">
    <w:nsid w:val="49C0E823"/>
    <w:multiLevelType w:val="hybridMultilevel"/>
    <w:lvl w:ilvl="0">
      <w:lvlJc w:val="left"/>
      <w:lvlText w:val="•"/>
      <w:numFmt w:val="bullet"/>
      <w:start w:val="1"/>
    </w:lvl>
  </w:abstractNum>
  <w:abstractNum w:abstractNumId="22">
    <w:nsid w:val="14D53685"/>
    <w:multiLevelType w:val="hybridMultilevel"/>
    <w:lvl w:ilvl="0">
      <w:lvlJc w:val="left"/>
      <w:lvlText w:val="•"/>
      <w:numFmt w:val="bullet"/>
      <w:start w:val="1"/>
    </w:lvl>
  </w:abstractNum>
  <w:abstractNum w:abstractNumId="23">
    <w:nsid w:val="230F856C"/>
    <w:multiLevelType w:val="hybridMultilevel"/>
    <w:lvl w:ilvl="0">
      <w:lvlJc w:val="left"/>
      <w:lvlText w:val="•"/>
      <w:numFmt w:val="bullet"/>
      <w:start w:val="1"/>
    </w:lvl>
  </w:abstractNum>
  <w:abstractNum w:abstractNumId="24">
    <w:nsid w:val="6EAA85FB"/>
    <w:multiLevelType w:val="hybridMultilevel"/>
    <w:lvl w:ilvl="0">
      <w:lvlJc w:val="left"/>
      <w:lvlText w:val="•"/>
      <w:numFmt w:val="bullet"/>
      <w:start w:val="1"/>
    </w:lvl>
  </w:abstractNum>
  <w:abstractNum w:abstractNumId="25">
    <w:nsid w:val="3F06ECB2"/>
    <w:multiLevelType w:val="hybridMultilevel"/>
    <w:lvl w:ilvl="0">
      <w:lvlJc w:val="left"/>
      <w:lvlText w:val="•"/>
      <w:numFmt w:val="bullet"/>
      <w:start w:val="1"/>
    </w:lvl>
  </w:abstractNum>
  <w:abstractNum w:abstractNumId="26">
    <w:nsid w:val="3B594807"/>
    <w:multiLevelType w:val="hybridMultilevel"/>
    <w:lvl w:ilvl="0">
      <w:lvlJc w:val="left"/>
      <w:lvlText w:val="•"/>
      <w:numFmt w:val="bullet"/>
      <w:start w:val="1"/>
    </w:lvl>
  </w:abstractNum>
  <w:abstractNum w:abstractNumId="27">
    <w:nsid w:val="6CAA2304"/>
    <w:multiLevelType w:val="hybridMultilevel"/>
    <w:lvl w:ilvl="0">
      <w:lvlJc w:val="left"/>
      <w:lvlText w:val="%1."/>
      <w:numFmt w:val="decimal"/>
      <w:start w:val="19"/>
    </w:lvl>
  </w:abstractNum>
  <w:abstractNum w:abstractNumId="28">
    <w:nsid w:val="3F7C2FF4"/>
    <w:multiLevelType w:val="hybridMultilevel"/>
    <w:lvl w:ilvl="0">
      <w:lvlJc w:val="left"/>
      <w:lvlText w:val="%1."/>
      <w:numFmt w:val="decimal"/>
      <w:start w:val="4"/>
    </w:lvl>
  </w:abstractNum>
  <w:abstractNum w:abstractNumId="29">
    <w:nsid w:val="25413BEC"/>
    <w:multiLevelType w:val="hybridMultilevel"/>
    <w:lvl w:ilvl="0">
      <w:lvlJc w:val="left"/>
      <w:lvlText w:val="•"/>
      <w:numFmt w:val="bullet"/>
      <w:start w:val="1"/>
    </w:lvl>
  </w:abstractNum>
  <w:abstractNum w:abstractNumId="30">
    <w:nsid w:val="17180B0B"/>
    <w:multiLevelType w:val="hybridMultilevel"/>
    <w:lvl w:ilvl="0">
      <w:lvlJc w:val="left"/>
      <w:lvlText w:val="•"/>
      <w:numFmt w:val="bullet"/>
      <w:start w:val="1"/>
    </w:lvl>
  </w:abstractNum>
  <w:abstractNum w:abstractNumId="31">
    <w:nsid w:val="579328B9"/>
    <w:multiLevelType w:val="hybridMultilevel"/>
    <w:lvl w:ilvl="0">
      <w:lvlJc w:val="left"/>
      <w:lvlText w:val="•"/>
      <w:numFmt w:val="bullet"/>
      <w:start w:val="1"/>
    </w:lvl>
  </w:abstractNum>
  <w:abstractNum w:abstractNumId="32">
    <w:nsid w:val="5D205E20"/>
    <w:multiLevelType w:val="hybridMultilevel"/>
    <w:lvl w:ilvl="0">
      <w:lvlJc w:val="left"/>
      <w:lvlText w:val="(%1)"/>
      <w:numFmt w:val="lowerLetter"/>
      <w:start w:val="5"/>
    </w:lvl>
  </w:abstractNum>
  <w:abstractNum w:abstractNumId="33">
    <w:nsid w:val="11CCA8BA"/>
    <w:multiLevelType w:val="hybridMultilevel"/>
    <w:lvl w:ilvl="0">
      <w:lvlJc w:val="left"/>
      <w:lvlText w:val="•"/>
      <w:numFmt w:val="bullet"/>
      <w:start w:val="1"/>
    </w:lvl>
  </w:abstractNum>
  <w:abstractNum w:abstractNumId="34">
    <w:nsid w:val="4D32AB86"/>
    <w:multiLevelType w:val="hybridMultilevel"/>
    <w:lvl w:ilvl="0">
      <w:lvlJc w:val="left"/>
      <w:lvlText w:val="•"/>
      <w:numFmt w:val="bullet"/>
      <w:start w:val="1"/>
    </w:lvl>
  </w:abstractNum>
  <w:abstractNum w:abstractNumId="35">
    <w:nsid w:val="3F07ACC3"/>
    <w:multiLevelType w:val="hybridMultilevel"/>
    <w:lvl w:ilvl="0">
      <w:lvlJc w:val="left"/>
      <w:lvlText w:val="▪"/>
      <w:numFmt w:val="bullet"/>
      <w:start w:val="1"/>
    </w:lvl>
  </w:abstractNum>
  <w:abstractNum w:abstractNumId="36">
    <w:nsid w:val="6B47F63E"/>
    <w:multiLevelType w:val="hybridMultilevel"/>
    <w:lvl w:ilvl="0">
      <w:lvlJc w:val="left"/>
      <w:lvlText w:val="%1."/>
      <w:numFmt w:val="upperLetter"/>
      <w:start w:val="1"/>
    </w:lvl>
  </w:abstractNum>
  <w:abstractNum w:abstractNumId="37">
    <w:nsid w:val="5CB44A05"/>
    <w:multiLevelType w:val="hybridMultilevel"/>
    <w:lvl w:ilvl="0">
      <w:lvlJc w:val="left"/>
      <w:lvlText w:val="%1."/>
      <w:numFmt w:val="upperLetter"/>
      <w:start w:val="2"/>
    </w:lvl>
  </w:abstractNum>
  <w:abstractNum w:abstractNumId="38">
    <w:nsid w:val="16CF80F1"/>
    <w:multiLevelType w:val="hybridMultilevel"/>
    <w:lvl w:ilvl="0">
      <w:lvlJc w:val="left"/>
      <w:lvlText w:val="•"/>
      <w:numFmt w:val="bullet"/>
      <w:start w:val="1"/>
    </w:lvl>
  </w:abstractNum>
  <w:abstractNum w:abstractNumId="39">
    <w:nsid w:val="1C695DEC"/>
    <w:multiLevelType w:val="hybridMultilevel"/>
    <w:lvl w:ilvl="0">
      <w:lvlJc w:val="left"/>
      <w:lvlText w:val="•"/>
      <w:numFmt w:val="bullet"/>
      <w:start w:val="1"/>
    </w:lvl>
  </w:abstractNum>
  <w:abstractNum w:abstractNumId="40">
    <w:nsid w:val="3FCFAED9"/>
    <w:multiLevelType w:val="hybridMultilevel"/>
    <w:lvl w:ilvl="0">
      <w:lvlJc w:val="left"/>
      <w:lvlText w:val="•"/>
      <w:numFmt w:val="bullet"/>
      <w:start w:val="1"/>
    </w:lvl>
  </w:abstractNum>
  <w:abstractNum w:abstractNumId="41">
    <w:nsid w:val="F856867"/>
    <w:multiLevelType w:val="hybridMultilevel"/>
    <w:lvl w:ilvl="0">
      <w:lvlJc w:val="left"/>
      <w:lvlText w:val="•"/>
      <w:numFmt w:val="bullet"/>
      <w:start w:val="1"/>
    </w:lvl>
  </w:abstractNum>
  <w:abstractNum w:abstractNumId="42">
    <w:nsid w:val="11B1CC33"/>
    <w:multiLevelType w:val="hybridMultilevel"/>
    <w:lvl w:ilvl="0">
      <w:lvlJc w:val="left"/>
      <w:lvlText w:val="•"/>
      <w:numFmt w:val="bullet"/>
      <w:start w:val="1"/>
    </w:lvl>
  </w:abstractNum>
  <w:abstractNum w:abstractNumId="43">
    <w:nsid w:val="2E22FBB7"/>
    <w:multiLevelType w:val="hybridMultilevel"/>
    <w:lvl w:ilvl="0">
      <w:lvlJc w:val="left"/>
      <w:lvlText w:val="•"/>
      <w:numFmt w:val="bullet"/>
      <w:start w:val="1"/>
    </w:lvl>
  </w:abstractNum>
  <w:abstractNum w:abstractNumId="44">
    <w:nsid w:val="29934699"/>
    <w:multiLevelType w:val="hybridMultilevel"/>
    <w:lvl w:ilvl="0">
      <w:lvlJc w:val="left"/>
      <w:lvlText w:val="(%1)"/>
      <w:numFmt w:val="lowerRoman"/>
      <w:start w:val="3"/>
    </w:lvl>
  </w:abstractNum>
  <w:abstractNum w:abstractNumId="45">
    <w:nsid w:val="77485850"/>
    <w:multiLevelType w:val="hybridMultilevel"/>
    <w:lvl w:ilvl="0">
      <w:lvlJc w:val="left"/>
      <w:lvlText w:val="%1."/>
      <w:numFmt w:val="upperLetter"/>
      <w:start w:val="3"/>
    </w:lvl>
  </w:abstractNum>
  <w:abstractNum w:abstractNumId="46">
    <w:nsid w:val="744939A3"/>
    <w:multiLevelType w:val="hybridMultilevel"/>
    <w:lvl w:ilvl="0">
      <w:lvlJc w:val="left"/>
      <w:lvlText w:val="(%1)"/>
      <w:numFmt w:val="decimal"/>
      <w:start w:val="1"/>
    </w:lvl>
  </w:abstractNum>
  <w:abstractNum w:abstractNumId="47">
    <w:nsid w:val="4FA0D2E3"/>
    <w:multiLevelType w:val="hybridMultilevel"/>
    <w:lvl w:ilvl="0">
      <w:lvlJc w:val="left"/>
      <w:lvlText w:val="(%1)"/>
      <w:numFmt w:val="decimal"/>
      <w:start w:val="3"/>
    </w:lvl>
  </w:abstractNum>
  <w:abstractNum w:abstractNumId="48">
    <w:nsid w:val="6B1D2C14"/>
    <w:multiLevelType w:val="hybridMultilevel"/>
    <w:lvl w:ilvl="0">
      <w:lvlJc w:val="left"/>
      <w:lvlText w:val="•"/>
      <w:numFmt w:val="bullet"/>
      <w:start w:val="1"/>
    </w:lvl>
  </w:abstractNum>
  <w:abstractNum w:abstractNumId="49">
    <w:nsid w:val="68B867D3"/>
    <w:multiLevelType w:val="hybridMultilevel"/>
    <w:lvl w:ilvl="0">
      <w:lvlJc w:val="left"/>
      <w:lvlText w:val="•"/>
      <w:numFmt w:val="bullet"/>
      <w:start w:val="1"/>
    </w:lvl>
  </w:abstractNum>
  <w:abstractNum w:abstractNumId="50">
    <w:nsid w:val="3F7F5DD9"/>
    <w:multiLevelType w:val="hybridMultilevel"/>
    <w:lvl w:ilvl="0">
      <w:lvlJc w:val="left"/>
      <w:lvlText w:val="•"/>
      <w:numFmt w:val="bullet"/>
      <w:start w:val="1"/>
    </w:lvl>
  </w:abstractNum>
  <w:abstractNum w:abstractNumId="51">
    <w:nsid w:val="2AE05A34"/>
    <w:multiLevelType w:val="hybridMultilevel"/>
    <w:lvl w:ilvl="0">
      <w:lvlJc w:val="left"/>
      <w:lvlText w:val="%1."/>
      <w:numFmt w:val="upperLetter"/>
      <w:start w:val="4"/>
    </w:lvl>
  </w:abstractNum>
  <w:abstractNum w:abstractNumId="52">
    <w:nsid w:val="32794FF7"/>
    <w:multiLevelType w:val="hybridMultilevel"/>
    <w:lvl w:ilvl="0">
      <w:lvlJc w:val="left"/>
      <w:lvlText w:val="%1."/>
      <w:numFmt w:val="decimal"/>
      <w:start w:val="3"/>
    </w:lvl>
  </w:abstractNum>
  <w:abstractNum w:abstractNumId="53">
    <w:nsid w:val="5454945E"/>
    <w:multiLevelType w:val="hybridMultilevel"/>
    <w:lvl w:ilvl="0">
      <w:lvlJc w:val="left"/>
      <w:lvlText w:val="%1."/>
      <w:numFmt w:val="upperLetter"/>
      <w:start w:val="1"/>
    </w:lvl>
  </w:abstractNum>
  <w:abstractNum w:abstractNumId="54">
    <w:nsid w:val="4DEFDFA0"/>
    <w:multiLevelType w:val="hybridMultilevel"/>
    <w:lvl w:ilvl="0">
      <w:lvlJc w:val="left"/>
      <w:lvlText w:val="•"/>
      <w:numFmt w:val="bullet"/>
      <w:start w:val="1"/>
    </w:lvl>
  </w:abstractNum>
  <w:abstractNum w:abstractNumId="55">
    <w:nsid w:val="2123D5F2"/>
    <w:multiLevelType w:val="hybridMultilevel"/>
    <w:lvl w:ilvl="0">
      <w:lvlJc w:val="left"/>
      <w:lvlText w:val="%1."/>
      <w:numFmt w:val="upperLetter"/>
      <w:start w:val="2"/>
    </w:lvl>
  </w:abstractNum>
  <w:abstractNum w:abstractNumId="56">
    <w:nsid w:val="135B8110"/>
    <w:multiLevelType w:val="hybridMultilevel"/>
    <w:lvl w:ilvl="0">
      <w:lvlJc w:val="left"/>
      <w:lvlText w:val="%1."/>
      <w:numFmt w:val="upperLetter"/>
      <w:start w:val="3"/>
    </w:lvl>
  </w:abstractNum>
  <w:abstractNum w:abstractNumId="57">
    <w:nsid w:val="94927A8"/>
    <w:multiLevelType w:val="hybridMultilevel"/>
    <w:lvl w:ilvl="0">
      <w:lvlJc w:val="left"/>
      <w:lvlText w:val="%1."/>
      <w:numFmt w:val="upperLetter"/>
      <w:start w:val="5"/>
    </w:lvl>
  </w:abstractNum>
  <w:abstractNum w:abstractNumId="58">
    <w:nsid w:val="DCDF8F6"/>
    <w:multiLevelType w:val="hybridMultilevel"/>
    <w:lvl w:ilvl="0">
      <w:lvlJc w:val="left"/>
      <w:lvlText w:val="%1."/>
      <w:numFmt w:val="upperLetter"/>
      <w:start w:val="6"/>
    </w:lvl>
  </w:abstractNum>
  <w:abstractNum w:abstractNumId="59">
    <w:nsid w:val="52D7B105"/>
    <w:multiLevelType w:val="hybridMultilevel"/>
    <w:lvl w:ilvl="0">
      <w:lvlJc w:val="left"/>
      <w:lvlText w:val="%1."/>
      <w:numFmt w:val="upperLetter"/>
      <w:start w:val="7"/>
    </w:lvl>
  </w:abstractNum>
  <w:abstractNum w:abstractNumId="60">
    <w:nsid w:val="2E8A6394"/>
    <w:multiLevelType w:val="hybridMultilevel"/>
    <w:lvl w:ilvl="0">
      <w:lvlJc w:val="left"/>
      <w:lvlText w:val="%1."/>
      <w:numFmt w:val="upperLetter"/>
      <w:start w:val="1"/>
    </w:lvl>
  </w:abstractNum>
  <w:abstractNum w:abstractNumId="61">
    <w:nsid w:val="24E60401"/>
    <w:multiLevelType w:val="hybridMultilevel"/>
    <w:lvl w:ilvl="0">
      <w:lvlJc w:val="left"/>
      <w:lvlText w:val="%1."/>
      <w:numFmt w:val="upperLetter"/>
      <w:start w:val="2"/>
    </w:lvl>
  </w:abstractNum>
  <w:abstractNum w:abstractNumId="62">
    <w:nsid w:val="2A6AD9BE"/>
    <w:multiLevelType w:val="hybridMultilevel"/>
    <w:lvl w:ilvl="0">
      <w:lvlJc w:val="left"/>
      <w:lvlText w:val="%1."/>
      <w:numFmt w:val="upperLetter"/>
      <w:start w:val="3"/>
    </w:lvl>
  </w:abstractNum>
  <w:abstractNum w:abstractNumId="63">
    <w:nsid w:val="BAAC1B4"/>
    <w:multiLevelType w:val="hybridMultilevel"/>
    <w:lvl w:ilvl="0">
      <w:lvlJc w:val="left"/>
      <w:lvlText w:val="•"/>
      <w:numFmt w:val="bullet"/>
      <w:start w:val="1"/>
    </w:lvl>
  </w:abstractNum>
  <w:abstractNum w:abstractNumId="64">
    <w:nsid w:val="36B2ACBC"/>
    <w:multiLevelType w:val="hybridMultilevel"/>
    <w:lvl w:ilvl="0">
      <w:lvlJc w:val="left"/>
      <w:lvlText w:val="•"/>
      <w:numFmt w:val="bullet"/>
      <w:start w:val="1"/>
    </w:lvl>
  </w:abstractNum>
  <w:abstractNum w:abstractNumId="65">
    <w:nsid w:val="779D8544"/>
    <w:multiLevelType w:val="hybridMultilevel"/>
    <w:lvl w:ilvl="0">
      <w:lvlJc w:val="left"/>
      <w:lvlText w:val="•"/>
      <w:numFmt w:val="bullet"/>
      <w:start w:val="1"/>
    </w:lvl>
  </w:abstractNum>
  <w:abstractNum w:abstractNumId="66">
    <w:nsid w:val="4AB26E78"/>
    <w:multiLevelType w:val="hybridMultilevel"/>
    <w:lvl w:ilvl="0">
      <w:lvlJc w:val="left"/>
      <w:lvlText w:val="•"/>
      <w:numFmt w:val="bullet"/>
      <w:start w:val="1"/>
    </w:lvl>
  </w:abstractNum>
  <w:abstractNum w:abstractNumId="67">
    <w:nsid w:val="21FAA2FA"/>
    <w:multiLevelType w:val="hybridMultilevel"/>
    <w:lvl w:ilvl="0">
      <w:lvlJc w:val="left"/>
      <w:lvlText w:val="%1."/>
      <w:numFmt w:val="upperLetter"/>
      <w:start w:val="4"/>
    </w:lvl>
  </w:abstractNum>
  <w:abstractNum w:abstractNumId="68">
    <w:nsid w:val="5451CF49"/>
    <w:multiLevelType w:val="hybridMultilevel"/>
    <w:lvl w:ilvl="0">
      <w:lvlJc w:val="left"/>
      <w:lvlText w:val="%1."/>
      <w:numFmt w:val="upperLetter"/>
      <w:start w:val="5"/>
    </w:lvl>
    <w:lvl w:ilvl="1">
      <w:lvlJc w:val="left"/>
      <w:lvlText w:val="•"/>
      <w:numFmt w:val="bullet"/>
      <w:start w:val="1"/>
    </w:lvl>
  </w:abstractNum>
  <w:abstractNum w:abstractNumId="69">
    <w:nsid w:val="6181EF69"/>
    <w:multiLevelType w:val="hybridMultilevel"/>
    <w:lvl w:ilvl="0">
      <w:lvlJc w:val="left"/>
      <w:lvlText w:val="**"/>
      <w:numFmt w:val="bullet"/>
      <w:start w:val="1"/>
    </w:lvl>
  </w:abstractNum>
  <w:abstractNum w:abstractNumId="70">
    <w:nsid w:val="3E6400E6"/>
    <w:multiLevelType w:val="hybridMultilevel"/>
    <w:lvl w:ilvl="0">
      <w:lvlJc w:val="left"/>
      <w:lvlText w:val="(%1)"/>
      <w:numFmt w:val="decimal"/>
      <w:start w:val="1"/>
    </w:lvl>
  </w:abstractNum>
  <w:abstractNum w:abstractNumId="71">
    <w:nsid w:val="14217E23"/>
    <w:multiLevelType w:val="hybridMultilevel"/>
    <w:lvl w:ilvl="0">
      <w:lvlJc w:val="left"/>
      <w:lvlText w:val="%1."/>
      <w:numFmt w:val="upperLetter"/>
      <w:start w:val="6"/>
    </w:lvl>
  </w:abstractNum>
  <w:abstractNum w:abstractNumId="72">
    <w:nsid w:val="710757D0"/>
    <w:multiLevelType w:val="hybridMultilevel"/>
    <w:lvl w:ilvl="0">
      <w:lvlJc w:val="left"/>
      <w:lvlText w:val="%1."/>
      <w:numFmt w:val="upperLetter"/>
      <w:start w:val="1"/>
    </w:lvl>
  </w:abstractNum>
  <w:abstractNum w:abstractNumId="73">
    <w:nsid w:val="5015CD1A"/>
    <w:multiLevelType w:val="hybridMultilevel"/>
    <w:lvl w:ilvl="0">
      <w:lvlJc w:val="left"/>
      <w:lvlText w:val="%1."/>
      <w:numFmt w:val="upperLetter"/>
      <w:start w:val="3"/>
    </w:lvl>
  </w:abstractNum>
  <w:abstractNum w:abstractNumId="74">
    <w:nsid w:val="424479DA"/>
    <w:multiLevelType w:val="hybridMultilevel"/>
    <w:lvl w:ilvl="0">
      <w:lvlJc w:val="left"/>
      <w:lvlText w:val="%1."/>
      <w:numFmt w:val="upperLetter"/>
      <w:start w:val="1"/>
    </w:lvl>
  </w:abstractNum>
  <w:abstractNum w:abstractNumId="75">
    <w:nsid w:val="1A9A9E69"/>
    <w:multiLevelType w:val="hybridMultilevel"/>
    <w:lvl w:ilvl="0">
      <w:lvlJc w:val="left"/>
      <w:lvlText w:val="%1."/>
      <w:numFmt w:val="upperLetter"/>
      <w:start w:val="2"/>
    </w:lvl>
  </w:abstractNum>
  <w:abstractNum w:abstractNumId="76">
    <w:nsid w:val="475E256A"/>
    <w:multiLevelType w:val="hybridMultilevel"/>
    <w:lvl w:ilvl="0">
      <w:lvlJc w:val="left"/>
      <w:lvlText w:val="%1."/>
      <w:numFmt w:val="upperLetter"/>
      <w:start w:val="1"/>
    </w:lvl>
  </w:abstractNum>
  <w:abstractNum w:abstractNumId="77">
    <w:nsid w:val="368DB37E"/>
    <w:multiLevelType w:val="hybridMultilevel"/>
    <w:lvl w:ilvl="0">
      <w:lvlJc w:val="left"/>
      <w:lvlText w:val="%1."/>
      <w:numFmt w:val="upperLetter"/>
      <w:start w:val="2"/>
    </w:lvl>
  </w:abstractNum>
  <w:abstractNum w:abstractNumId="78">
    <w:nsid w:val="6A3B714C"/>
    <w:multiLevelType w:val="hybridMultilevel"/>
    <w:lvl w:ilvl="0">
      <w:lvlJc w:val="left"/>
      <w:lvlText w:val="%1."/>
      <w:numFmt w:val="upperLetter"/>
      <w:start w:val="1"/>
    </w:lvl>
  </w:abstractNum>
  <w:abstractNum w:abstractNumId="79">
    <w:nsid w:val="327B517E"/>
    <w:multiLevelType w:val="hybridMultilevel"/>
    <w:lvl w:ilvl="0">
      <w:lvlJc w:val="left"/>
      <w:lvlText w:val="%1."/>
      <w:numFmt w:val="upperLetter"/>
      <w:start w:val="2"/>
    </w:lvl>
  </w:abstractNum>
  <w:abstractNum w:abstractNumId="80">
    <w:nsid w:val="1F461B51"/>
    <w:multiLevelType w:val="hybridMultilevel"/>
    <w:lvl w:ilvl="0">
      <w:lvlJc w:val="left"/>
      <w:lvlText w:val="•"/>
      <w:numFmt w:val="bullet"/>
      <w:start w:val="1"/>
    </w:lvl>
  </w:abstractNum>
  <w:abstractNum w:abstractNumId="81">
    <w:nsid w:val="29BACF25"/>
    <w:multiLevelType w:val="hybridMultilevel"/>
    <w:lvl w:ilvl="0">
      <w:lvlJc w:val="left"/>
      <w:lvlText w:val="•"/>
      <w:numFmt w:val="bullet"/>
      <w:start w:val="1"/>
    </w:lvl>
  </w:abstractNum>
  <w:abstractNum w:abstractNumId="82">
    <w:nsid w:val="5D5BABB3"/>
    <w:multiLevelType w:val="hybridMultilevel"/>
    <w:lvl w:ilvl="0">
      <w:lvlJc w:val="left"/>
      <w:lvlText w:val="•"/>
      <w:numFmt w:val="bullet"/>
      <w:start w:val="1"/>
    </w:lvl>
  </w:abstractNum>
  <w:abstractNum w:abstractNumId="83">
    <w:nsid w:val="51BF6B48"/>
    <w:multiLevelType w:val="hybridMultilevel"/>
    <w:lvl w:ilvl="0">
      <w:lvlJc w:val="left"/>
      <w:lvlText w:val="%1."/>
      <w:numFmt w:val="upperLetter"/>
      <w:start w:val="3"/>
    </w:lvl>
  </w:abstractNum>
  <w:abstractNum w:abstractNumId="84">
    <w:nsid w:val="7E0F6384"/>
    <w:multiLevelType w:val="hybridMultilevel"/>
    <w:lvl w:ilvl="0">
      <w:lvlJc w:val="left"/>
      <w:lvlText w:val="•"/>
      <w:numFmt w:val="bullet"/>
      <w:start w:val="1"/>
    </w:lvl>
  </w:abstractNum>
  <w:abstractNum w:abstractNumId="85">
    <w:nsid w:val="2B4B8B53"/>
    <w:multiLevelType w:val="hybridMultilevel"/>
    <w:lvl w:ilvl="0">
      <w:lvlJc w:val="left"/>
      <w:lvlText w:val="•"/>
      <w:numFmt w:val="bullet"/>
      <w:start w:val="1"/>
    </w:lvl>
  </w:abstractNum>
  <w:abstractNum w:abstractNumId="86">
    <w:nsid w:val="72E3413A"/>
    <w:multiLevelType w:val="hybridMultilevel"/>
    <w:lvl w:ilvl="0">
      <w:lvlJc w:val="left"/>
      <w:lvlText w:val="•"/>
      <w:numFmt w:val="bullet"/>
      <w:start w:val="1"/>
    </w:lvl>
  </w:abstractNum>
  <w:abstractNum w:abstractNumId="87">
    <w:nsid w:val="116AE494"/>
    <w:multiLevelType w:val="hybridMultilevel"/>
    <w:lvl w:ilvl="0">
      <w:lvlJc w:val="left"/>
      <w:lvlText w:val="•"/>
      <w:numFmt w:val="bullet"/>
      <w:start w:val="1"/>
    </w:lvl>
  </w:abstractNum>
  <w:abstractNum w:abstractNumId="88">
    <w:nsid w:val="3494B2FB"/>
    <w:multiLevelType w:val="hybridMultilevel"/>
    <w:lvl w:ilvl="0">
      <w:lvlJc w:val="left"/>
      <w:lvlText w:val="•"/>
      <w:numFmt w:val="bullet"/>
      <w:start w:val="1"/>
    </w:lvl>
  </w:abstractNum>
  <w:abstractNum w:abstractNumId="89">
    <w:nsid w:val="B13A31"/>
    <w:multiLevelType w:val="hybridMultilevel"/>
    <w:lvl w:ilvl="0">
      <w:lvlJc w:val="left"/>
      <w:lvlText w:val="%1."/>
      <w:numFmt w:val="upperLetter"/>
      <w:start w:val="6"/>
    </w:lvl>
  </w:abstractNum>
  <w:abstractNum w:abstractNumId="90">
    <w:nsid w:val="64429599"/>
    <w:multiLevelType w:val="hybridMultilevel"/>
    <w:lvl w:ilvl="0">
      <w:lvlJc w:val="left"/>
      <w:lvlText w:val="%1."/>
      <w:numFmt w:val="upperLetter"/>
      <w:start w:val="8"/>
    </w:lvl>
  </w:abstractNum>
  <w:abstractNum w:abstractNumId="91">
    <w:nsid w:val="631F1690"/>
    <w:multiLevelType w:val="hybridMultilevel"/>
    <w:lvl w:ilvl="0">
      <w:lvlJc w:val="left"/>
      <w:lvlText w:val="%1."/>
      <w:numFmt w:val="upperLetter"/>
      <w:start w:val="9"/>
    </w:lvl>
  </w:abstractNum>
  <w:abstractNum w:abstractNumId="92">
    <w:nsid w:val="25973E32"/>
    <w:multiLevelType w:val="hybridMultilevel"/>
    <w:lvl w:ilvl="0">
      <w:lvlJc w:val="left"/>
      <w:lvlText w:val="%1."/>
      <w:numFmt w:val="upperLetter"/>
      <w:start w:val="1"/>
    </w:lvl>
  </w:abstractNum>
  <w:abstractNum w:abstractNumId="93">
    <w:nsid w:val="EAD6F57"/>
    <w:multiLevelType w:val="hybridMultilevel"/>
    <w:lvl w:ilvl="0">
      <w:lvlJc w:val="left"/>
      <w:lvlText w:val="•"/>
      <w:numFmt w:val="bullet"/>
      <w:start w:val="1"/>
    </w:lvl>
  </w:abstractNum>
  <w:abstractNum w:abstractNumId="94">
    <w:nsid w:val="6EC9D844"/>
    <w:multiLevelType w:val="hybridMultilevel"/>
    <w:lvl w:ilvl="0">
      <w:lvlJc w:val="left"/>
      <w:lvlText w:val="•"/>
      <w:numFmt w:val="bullet"/>
      <w:start w:val="1"/>
    </w:lvl>
  </w:abstractNum>
  <w:abstractNum w:abstractNumId="95">
    <w:nsid w:val="5C49EAEE"/>
    <w:multiLevelType w:val="hybridMultilevel"/>
    <w:lvl w:ilvl="0">
      <w:lvlJc w:val="left"/>
      <w:lvlText w:val="•"/>
      <w:numFmt w:val="bullet"/>
      <w:start w:val="1"/>
    </w:lvl>
  </w:abstractNum>
  <w:abstractNum w:abstractNumId="96">
    <w:nsid w:val="64AF49B"/>
    <w:multiLevelType w:val="hybridMultilevel"/>
    <w:lvl w:ilvl="0">
      <w:lvlJc w:val="left"/>
      <w:lvlText w:val="†"/>
      <w:numFmt w:val="bullet"/>
      <w:start w:val="1"/>
    </w:lvl>
  </w:abstractNum>
  <w:abstractNum w:abstractNumId="97">
    <w:nsid w:val="397C46BC"/>
    <w:multiLevelType w:val="hybridMultilevel"/>
    <w:lvl w:ilvl="0">
      <w:lvlJc w:val="left"/>
      <w:lvlText w:val="-"/>
      <w:numFmt w:val="bullet"/>
      <w:start w:val="1"/>
    </w:lvl>
  </w:abstractNum>
  <w:abstractNum w:abstractNumId="98">
    <w:nsid w:val="7E448DE9"/>
    <w:multiLevelType w:val="hybridMultilevel"/>
    <w:lvl w:ilvl="0">
      <w:lvlJc w:val="left"/>
      <w:lvlText w:val="%1."/>
      <w:numFmt w:val="decimal"/>
      <w:start w:val="1"/>
    </w:lvl>
  </w:abstractNum>
  <w:abstractNum w:abstractNumId="99">
    <w:nsid w:val="5A9CC3E5"/>
    <w:multiLevelType w:val="hybridMultilevel"/>
    <w:lvl w:ilvl="0">
      <w:lvlJc w:val="left"/>
      <w:lvlText w:val="*"/>
      <w:numFmt w:val="bullet"/>
      <w:start w:val="1"/>
    </w:lvl>
  </w:abstractNum>
  <w:abstractNum w:abstractNumId="100">
    <w:nsid w:val="1AFE3625"/>
    <w:multiLevelType w:val="hybridMultilevel"/>
    <w:lvl w:ilvl="0">
      <w:lvlJc w:val="left"/>
      <w:lvlText w:val="%1."/>
      <w:numFmt w:val="decimal"/>
      <w:start w:val="2"/>
    </w:lvl>
    <w:lvl w:ilvl="1">
      <w:lvlJc w:val="left"/>
      <w:lvlText w:val="(%2)"/>
      <w:numFmt w:val="lowerLetter"/>
      <w:start w:val="1"/>
    </w:lvl>
  </w:abstractNum>
  <w:abstractNum w:abstractNumId="101">
    <w:nsid w:val="3CA88ECF"/>
    <w:multiLevelType w:val="hybridMultilevel"/>
    <w:lvl w:ilvl="0">
      <w:lvlJc w:val="left"/>
      <w:lvlText w:val="(%1)"/>
      <w:numFmt w:val="lowerLetter"/>
      <w:start w:val="2"/>
    </w:lvl>
  </w:abstractNum>
  <w:abstractNum w:abstractNumId="102">
    <w:nsid w:val="6EBE4208"/>
    <w:multiLevelType w:val="hybridMultilevel"/>
    <w:lvl w:ilvl="0">
      <w:lvlJc w:val="left"/>
      <w:lvlText w:val="%1."/>
      <w:numFmt w:val="decimal"/>
      <w:start w:val="2"/>
    </w:lvl>
    <w:lvl w:ilvl="1">
      <w:lvlJc w:val="left"/>
      <w:lvlText w:val="(%2)"/>
      <w:numFmt w:val="lowerLetter"/>
      <w:start w:val="2"/>
    </w:lvl>
  </w:abstractNum>
  <w:abstractNum w:abstractNumId="103">
    <w:nsid w:val="C058DF5"/>
    <w:multiLevelType w:val="hybridMultilevel"/>
    <w:lvl w:ilvl="0">
      <w:lvlJc w:val="left"/>
      <w:lvlText w:val="%1."/>
      <w:numFmt w:val="decimal"/>
      <w:start w:val="2"/>
    </w:lvl>
    <w:lvl w:ilvl="1">
      <w:lvlJc w:val="left"/>
      <w:lvlText w:val="(%2)"/>
      <w:numFmt w:val="lowerLetter"/>
      <w:start w:val="2"/>
    </w:lvl>
  </w:abstractNum>
  <w:abstractNum w:abstractNumId="104">
    <w:nsid w:val="CBE5BE9"/>
    <w:multiLevelType w:val="hybridMultilevel"/>
    <w:lvl w:ilvl="0">
      <w:lvlJc w:val="left"/>
      <w:lvlText w:val="%1."/>
      <w:numFmt w:val="decimal"/>
      <w:start w:val="2"/>
    </w:lvl>
    <w:lvl w:ilvl="1">
      <w:lvlJc w:val="left"/>
      <w:lvlText w:val="(%2)"/>
      <w:numFmt w:val="lowerLetter"/>
      <w:start w:val="3"/>
    </w:lvl>
  </w:abstractNum>
  <w:abstractNum w:abstractNumId="105">
    <w:nsid w:val="3102BBE2"/>
    <w:multiLevelType w:val="hybridMultilevel"/>
    <w:lvl w:ilvl="0">
      <w:lvlJc w:val="left"/>
      <w:lvlText w:val="(%1)"/>
      <w:numFmt w:val="lowerLetter"/>
      <w:start w:val="4"/>
    </w:lvl>
  </w:abstractNum>
  <w:abstractNum w:abstractNumId="106">
    <w:nsid w:val="26A02C5E"/>
    <w:multiLevelType w:val="hybridMultilevel"/>
    <w:lvl w:ilvl="0">
      <w:lvlJc w:val="left"/>
      <w:lvlText w:val="%1."/>
      <w:numFmt w:val="decimal"/>
      <w:start w:val="2"/>
    </w:lvl>
    <w:lvl w:ilvl="1">
      <w:lvlJc w:val="left"/>
      <w:lvlText w:val="(%2)"/>
      <w:numFmt w:val="lowerLetter"/>
      <w:start w:val="5"/>
    </w:lvl>
  </w:abstractNum>
  <w:abstractNum w:abstractNumId="107">
    <w:nsid w:val="541C8153"/>
    <w:multiLevelType w:val="hybridMultilevel"/>
    <w:lvl w:ilvl="0">
      <w:lvlJc w:val="left"/>
      <w:lvlText w:val="(%1)"/>
      <w:numFmt w:val="lowerLetter"/>
      <w:start w:val="6"/>
    </w:lvl>
  </w:abstractNum>
  <w:abstractNum w:abstractNumId="108">
    <w:nsid w:val="67906F60"/>
    <w:multiLevelType w:val="hybridMultilevel"/>
    <w:lvl w:ilvl="0">
      <w:lvlJc w:val="left"/>
      <w:lvlText w:val="(%1)"/>
      <w:numFmt w:val="lowerLetter"/>
      <w:start w:val="7"/>
    </w:lvl>
  </w:abstractNum>
  <w:abstractNum w:abstractNumId="109">
    <w:nsid w:val="10DB9DAA"/>
    <w:multiLevelType w:val="hybridMultilevel"/>
    <w:lvl w:ilvl="0">
      <w:lvlJc w:val="left"/>
      <w:lvlText w:val="(%1)"/>
      <w:numFmt w:val="lowerLetter"/>
      <w:start w:val="8"/>
    </w:lvl>
  </w:abstractNum>
  <w:abstractNum w:abstractNumId="110">
    <w:nsid w:val="697D2D2"/>
    <w:multiLevelType w:val="hybridMultilevel"/>
    <w:lvl w:ilvl="0">
      <w:lvlJc w:val="left"/>
      <w:lvlText w:val="(%1)"/>
      <w:numFmt w:val="lowerRoman"/>
      <w:start w:val="1"/>
    </w:lvl>
  </w:abstractNum>
  <w:abstractNum w:abstractNumId="111">
    <w:nsid w:val="6D68AB2"/>
    <w:multiLevelType w:val="hybridMultilevel"/>
    <w:lvl w:ilvl="0">
      <w:lvlJc w:val="left"/>
      <w:lvlText w:val="(%1)"/>
      <w:numFmt w:val="lowerLetter"/>
      <w:start w:val="10"/>
    </w:lvl>
  </w:abstractNum>
  <w:abstractNum w:abstractNumId="112">
    <w:nsid w:val="3A966CD0"/>
    <w:multiLevelType w:val="hybridMultilevel"/>
    <w:lvl w:ilvl="0">
      <w:lvlJc w:val="left"/>
      <w:lvlText w:val="%1."/>
      <w:numFmt w:val="decimal"/>
      <w:start w:val="3"/>
    </w:lvl>
    <w:lvl w:ilvl="1">
      <w:lvlJc w:val="left"/>
      <w:lvlText w:val="(%2)"/>
      <w:numFmt w:val="lowerLetter"/>
      <w:start w:val="11"/>
    </w:lvl>
  </w:abstractNum>
  <w:abstractNum w:abstractNumId="113">
    <w:nsid w:val="63F37E85"/>
    <w:multiLevelType w:val="hybridMultilevel"/>
    <w:lvl w:ilvl="0">
      <w:lvlJc w:val="left"/>
      <w:lvlText w:val="%1."/>
      <w:numFmt w:val="decimal"/>
      <w:start w:val="2"/>
    </w:lvl>
    <w:lvl w:ilvl="1">
      <w:lvlJc w:val="left"/>
      <w:lvlText w:val="(%2)"/>
      <w:numFmt w:val="lowerLetter"/>
      <w:start w:val="11"/>
    </w:lvl>
  </w:abstractNum>
  <w:abstractNum w:abstractNumId="114">
    <w:nsid w:val="5895F5FA"/>
    <w:multiLevelType w:val="hybridMultilevel"/>
    <w:lvl w:ilvl="0">
      <w:lvlJc w:val="left"/>
      <w:lvlText w:val="%1."/>
      <w:numFmt w:val="decimal"/>
      <w:start w:val="2"/>
    </w:lvl>
    <w:lvl w:ilvl="1">
      <w:lvlJc w:val="left"/>
      <w:lvlText w:val="(%2)"/>
      <w:numFmt w:val="lowerLetter"/>
      <w:start w:val="11"/>
    </w:lvl>
  </w:abstractNum>
  <w:abstractNum w:abstractNumId="115">
    <w:nsid w:val="38A5D054"/>
    <w:multiLevelType w:val="hybridMultilevel"/>
    <w:lvl w:ilvl="0">
      <w:lvlJc w:val="left"/>
      <w:lvlText w:val="(%1)"/>
      <w:numFmt w:val="lowerLetter"/>
      <w:start w:val="12"/>
    </w:lvl>
  </w:abstractNum>
  <w:abstractNum w:abstractNumId="116">
    <w:nsid w:val="F3F09D8"/>
    <w:multiLevelType w:val="hybridMultilevel"/>
    <w:lvl w:ilvl="0">
      <w:lvlJc w:val="left"/>
      <w:lvlText w:val="%1."/>
      <w:numFmt w:val="decimal"/>
      <w:start w:val="2"/>
    </w:lvl>
    <w:lvl w:ilvl="1">
      <w:lvlJc w:val="left"/>
      <w:lvlText w:val="(%2)"/>
      <w:numFmt w:val="lowerLetter"/>
      <w:start w:val="13"/>
    </w:lvl>
  </w:abstractNum>
  <w:abstractNum w:abstractNumId="117">
    <w:nsid w:val="4B793735"/>
    <w:multiLevelType w:val="hybridMultilevel"/>
    <w:lvl w:ilvl="0">
      <w:lvlJc w:val="left"/>
      <w:lvlText w:val="(%1)"/>
      <w:numFmt w:val="lowerLetter"/>
      <w:start w:val="14"/>
    </w:lvl>
  </w:abstractNum>
  <w:abstractNum w:abstractNumId="118">
    <w:nsid w:val="4A10B4E8"/>
    <w:multiLevelType w:val="hybridMultilevel"/>
    <w:lvl w:ilvl="0">
      <w:lvlJc w:val="left"/>
      <w:lvlText w:val="%1."/>
      <w:numFmt w:val="decimal"/>
      <w:start w:val="2"/>
    </w:lvl>
    <w:lvl w:ilvl="1">
      <w:lvlJc w:val="left"/>
      <w:lvlText w:val="(%2)"/>
      <w:numFmt w:val="lowerLetter"/>
      <w:start w:val="15"/>
    </w:lvl>
  </w:abstractNum>
  <w:abstractNum w:abstractNumId="119">
    <w:nsid w:val="43D3BCD4"/>
    <w:multiLevelType w:val="hybridMultilevel"/>
    <w:lvl w:ilvl="0">
      <w:lvlJc w:val="left"/>
      <w:lvlText w:val="(%1)"/>
      <w:numFmt w:val="lowerLetter"/>
      <w:start w:val="16"/>
    </w:lvl>
  </w:abstractNum>
  <w:abstractNum w:abstractNumId="120">
    <w:nsid w:val="4C2A7166"/>
    <w:multiLevelType w:val="hybridMultilevel"/>
    <w:lvl w:ilvl="0">
      <w:lvlJc w:val="left"/>
      <w:lvlText w:val="%1."/>
      <w:numFmt w:val="decimal"/>
      <w:start w:val="2"/>
    </w:lvl>
    <w:lvl w:ilvl="1">
      <w:lvlJc w:val="left"/>
      <w:lvlText w:val="(%2)"/>
      <w:numFmt w:val="lowerLetter"/>
      <w:start w:val="17"/>
    </w:lvl>
  </w:abstractNum>
  <w:abstractNum w:abstractNumId="121">
    <w:nsid w:val="2E534A82"/>
    <w:multiLevelType w:val="hybridMultilevel"/>
    <w:lvl w:ilvl="0">
      <w:lvlJc w:val="left"/>
      <w:lvlText w:val="•"/>
      <w:numFmt w:val="bullet"/>
      <w:start w:val="1"/>
    </w:lvl>
  </w:abstractNum>
  <w:abstractNum w:abstractNumId="122">
    <w:nsid w:val="26F2D364"/>
    <w:multiLevelType w:val="hybridMultilevel"/>
    <w:lvl w:ilvl="0">
      <w:lvlJc w:val="left"/>
      <w:lvlText w:val="%1."/>
      <w:numFmt w:val="decimal"/>
      <w:start w:val="2"/>
    </w:lvl>
    <w:lvl w:ilvl="1">
      <w:lvlJc w:val="left"/>
      <w:lvlText w:val="(%2)"/>
      <w:numFmt w:val="lowerLetter"/>
      <w:start w:val="17"/>
    </w:lvl>
  </w:abstractNum>
  <w:abstractNum w:abstractNumId="123">
    <w:nsid w:val="71C1AF98"/>
    <w:multiLevelType w:val="hybridMultilevel"/>
    <w:lvl w:ilvl="0">
      <w:lvlJc w:val="left"/>
      <w:lvlText w:val="%1."/>
      <w:numFmt w:val="decimal"/>
      <w:start w:val="2"/>
    </w:lvl>
    <w:lvl w:ilvl="1">
      <w:lvlJc w:val="left"/>
      <w:lvlText w:val="(%2)"/>
      <w:numFmt w:val="lowerLetter"/>
      <w:start w:val="17"/>
    </w:lvl>
  </w:abstractNum>
  <w:abstractNum w:abstractNumId="124">
    <w:nsid w:val="3D00B9D9"/>
    <w:multiLevelType w:val="hybridMultilevel"/>
    <w:lvl w:ilvl="0">
      <w:lvlJc w:val="left"/>
      <w:lvlText w:val="%1."/>
      <w:numFmt w:val="decimal"/>
      <w:start w:val="2"/>
    </w:lvl>
    <w:lvl w:ilvl="1">
      <w:lvlJc w:val="left"/>
      <w:lvlText w:val="(%2)"/>
      <w:numFmt w:val="lowerLetter"/>
      <w:start w:val="18"/>
    </w:lvl>
  </w:abstractNum>
  <w:abstractNum w:abstractNumId="125">
    <w:nsid w:val="15BCABA8"/>
    <w:multiLevelType w:val="hybridMultilevel"/>
    <w:lvl w:ilvl="0">
      <w:lvlJc w:val="left"/>
      <w:lvlText w:val="(%1)"/>
      <w:numFmt w:val="lowerLetter"/>
      <w:start w:val="19"/>
    </w:lvl>
  </w:abstractNum>
  <w:abstractNum w:abstractNumId="126">
    <w:nsid w:val="4E0B9A87"/>
    <w:multiLevelType w:val="hybridMultilevel"/>
    <w:lvl w:ilvl="0">
      <w:lvlJc w:val="left"/>
      <w:lvlText w:val="(%1)"/>
      <w:numFmt w:val="lowerLetter"/>
      <w:start w:val="20"/>
    </w:lvl>
  </w:abstractNum>
  <w:abstractNum w:abstractNumId="127">
    <w:nsid w:val="434BAE75"/>
    <w:multiLevelType w:val="hybridMultilevel"/>
    <w:lvl w:ilvl="0">
      <w:lvlJc w:val="left"/>
      <w:lvlText w:val="(%1)"/>
      <w:numFmt w:val="lowerLetter"/>
      <w:start w:val="21"/>
    </w:lvl>
  </w:abstractNum>
  <w:abstractNum w:abstractNumId="128">
    <w:nsid w:val="4F38F265"/>
    <w:multiLevelType w:val="hybridMultilevel"/>
    <w:lvl w:ilvl="0">
      <w:lvlJc w:val="left"/>
      <w:lvlText w:val="(%1)"/>
      <w:numFmt w:val="lowerRoman"/>
      <w:start w:val="5"/>
    </w:lvl>
  </w:abstractNum>
  <w:abstractNum w:abstractNumId="129">
    <w:nsid w:val="4C502870"/>
    <w:multiLevelType w:val="hybridMultilevel"/>
    <w:lvl w:ilvl="0">
      <w:lvlJc w:val="left"/>
      <w:lvlText w:val="%1."/>
      <w:numFmt w:val="decimal"/>
      <w:start w:val="2"/>
    </w:lvl>
    <w:lvl w:ilvl="1">
      <w:lvlJc w:val="left"/>
      <w:lvlText w:val="(%2)"/>
      <w:numFmt w:val="lowerLetter"/>
      <w:start w:val="23"/>
    </w:lvl>
  </w:abstractNum>
  <w:abstractNum w:abstractNumId="130">
    <w:nsid w:val="1DE8725A"/>
    <w:multiLevelType w:val="hybridMultilevel"/>
    <w:lvl w:ilvl="0">
      <w:lvlJc w:val="left"/>
      <w:lvlText w:val="(%1)"/>
      <w:numFmt w:val="lowerRoman"/>
      <w:start w:val="10"/>
    </w:lvl>
  </w:abstractNum>
  <w:abstractNum w:abstractNumId="131">
    <w:nsid w:val="6A37288A"/>
    <w:multiLevelType w:val="hybridMultilevel"/>
    <w:lvl w:ilvl="0">
      <w:lvlJc w:val="left"/>
      <w:lvlText w:val="(%1)"/>
      <w:numFmt w:val="lowerLetter"/>
      <w:start w:val="25"/>
    </w:lvl>
  </w:abstractNum>
  <w:abstractNum w:abstractNumId="132">
    <w:nsid w:val="8F8B73F"/>
    <w:multiLevelType w:val="hybridMultilevel"/>
    <w:lvl w:ilvl="0">
      <w:lvlJc w:val="left"/>
      <w:lvlText w:val="(%1)"/>
      <w:numFmt w:val="lowerLetter"/>
      <w:start w:val="26"/>
    </w:lvl>
  </w:abstractNum>
  <w:abstractNum w:abstractNumId="133">
    <w:nsid w:val="CA6B462"/>
    <w:multiLevelType w:val="hybridMultilevel"/>
    <w:lvl w:ilvl="0">
      <w:lvlJc w:val="left"/>
      <w:lvlText w:val="%1."/>
      <w:numFmt w:val="decimal"/>
      <w:start w:val="2"/>
    </w:lvl>
    <w:lvl w:ilvl="1">
      <w:lvlJc w:val="left"/>
      <w:lvlText w:val="(%2)"/>
      <w:numFmt w:val="lowerLetter"/>
      <w:start w:val="26"/>
    </w:lvl>
  </w:abstractNum>
  <w:abstractNum w:abstractNumId="134">
    <w:nsid w:val="763CB680"/>
    <w:multiLevelType w:val="hybridMultilevel"/>
    <w:lvl w:ilvl="0">
      <w:lvlJc w:val="left"/>
      <w:lvlText w:val="%1."/>
      <w:numFmt w:val="decimal"/>
      <w:start w:val="2"/>
    </w:lvl>
  </w:abstractNum>
  <w:abstractNum w:abstractNumId="135">
    <w:nsid w:val="15B71329"/>
    <w:multiLevelType w:val="hybridMultilevel"/>
    <w:lvl w:ilvl="0">
      <w:lvlJc w:val="left"/>
      <w:lvlText w:val="%1."/>
      <w:numFmt w:val="decimal"/>
      <w:start w:val="3"/>
    </w:lvl>
  </w:abstractNum>
  <w:abstractNum w:abstractNumId="136">
    <w:nsid w:val="3DA97044"/>
    <w:multiLevelType w:val="hybridMultilevel"/>
    <w:lvl w:ilvl="0">
      <w:lvlJc w:val="left"/>
      <w:lvlText w:val="%1."/>
      <w:numFmt w:val="decimal"/>
      <w:start w:val="4"/>
    </w:lvl>
  </w:abstractNum>
  <w:abstractNum w:abstractNumId="137">
    <w:nsid w:val="1CDCE2DE"/>
    <w:multiLevelType w:val="hybridMultilevel"/>
    <w:lvl w:ilvl="0">
      <w:lvlJc w:val="left"/>
      <w:lvlText w:val="%1."/>
      <w:numFmt w:val="decimal"/>
      <w:start w:val="5"/>
    </w:lvl>
  </w:abstractNum>
  <w:abstractNum w:abstractNumId="138">
    <w:nsid w:val="69D3947C"/>
    <w:multiLevelType w:val="hybridMultilevel"/>
    <w:lvl w:ilvl="0">
      <w:lvlJc w:val="left"/>
      <w:lvlText w:val="%1."/>
      <w:numFmt w:val="decimal"/>
      <w:start w:val="6"/>
    </w:lvl>
  </w:abstractNum>
  <w:abstractNum w:abstractNumId="139">
    <w:nsid w:val="2539DFA5"/>
    <w:multiLevelType w:val="hybridMultilevel"/>
    <w:lvl w:ilvl="0">
      <w:lvlJc w:val="left"/>
      <w:lvlText w:val="%1."/>
      <w:numFmt w:val="decimal"/>
      <w:start w:val="7"/>
    </w:lvl>
  </w:abstractNum>
  <w:abstractNum w:abstractNumId="140">
    <w:nsid w:val="2DB88089"/>
    <w:multiLevelType w:val="hybridMultilevel"/>
    <w:lvl w:ilvl="0">
      <w:lvlJc w:val="left"/>
      <w:lvlText w:val="%1."/>
      <w:numFmt w:val="decimal"/>
      <w:start w:val="8"/>
    </w:lvl>
  </w:abstractNum>
  <w:abstractNum w:abstractNumId="141">
    <w:nsid w:val="706B674E"/>
    <w:multiLevelType w:val="hybridMultilevel"/>
    <w:lvl w:ilvl="0">
      <w:lvlJc w:val="left"/>
      <w:lvlText w:val="%1."/>
      <w:numFmt w:val="decimal"/>
      <w:start w:val="8"/>
    </w:lvl>
  </w:abstractNum>
  <w:abstractNum w:abstractNumId="142">
    <w:nsid w:val="2C106A57"/>
    <w:multiLevelType w:val="hybridMultilevel"/>
    <w:lvl w:ilvl="0">
      <w:lvlJc w:val="left"/>
      <w:lvlText w:val="%1."/>
      <w:numFmt w:val="decimal"/>
      <w:start w:val="9"/>
    </w:lvl>
  </w:abstractNum>
  <w:abstractNum w:abstractNumId="143">
    <w:nsid w:val="684EED59"/>
    <w:multiLevelType w:val="hybridMultilevel"/>
    <w:lvl w:ilvl="0">
      <w:lvlJc w:val="left"/>
      <w:lvlText w:val="/"/>
      <w:numFmt w:val="bullet"/>
      <w:start w:val="1"/>
    </w:lvl>
  </w:abstractNum>
  <w:abstractNum w:abstractNumId="144">
    <w:nsid w:val="545EE5D3"/>
    <w:multiLevelType w:val="hybridMultilevel"/>
    <w:lvl w:ilvl="0">
      <w:lvlJc w:val="left"/>
      <w:lvlText w:val="%1."/>
      <w:numFmt w:val="decimal"/>
      <w:start w:val="9"/>
    </w:lvl>
  </w:abstractNum>
  <w:abstractNum w:abstractNumId="145">
    <w:nsid w:val="4A66051"/>
    <w:multiLevelType w:val="hybridMultilevel"/>
    <w:lvl w:ilvl="0">
      <w:lvlJc w:val="left"/>
      <w:lvlText w:val="%1."/>
      <w:numFmt w:val="decimal"/>
      <w:start w:val="9"/>
    </w:lvl>
  </w:abstractNum>
  <w:abstractNum w:abstractNumId="146">
    <w:nsid w:val="20F4BDAD"/>
    <w:multiLevelType w:val="hybridMultilevel"/>
    <w:lvl w:ilvl="0">
      <w:lvlJc w:val="left"/>
      <w:lvlText w:val="%1."/>
      <w:numFmt w:val="decimal"/>
      <w:start w:val="9"/>
    </w:lvl>
  </w:abstractNum>
  <w:abstractNum w:abstractNumId="147">
    <w:nsid w:val="639DEFAC"/>
    <w:multiLevelType w:val="hybridMultilevel"/>
    <w:lvl w:ilvl="0">
      <w:lvlJc w:val="left"/>
      <w:lvlText w:val="%1."/>
      <w:numFmt w:val="decimal"/>
      <w:start w:val="9"/>
    </w:lvl>
  </w:abstractNum>
  <w:abstractNum w:abstractNumId="148">
    <w:nsid w:val="501F9786"/>
    <w:multiLevelType w:val="hybridMultilevel"/>
    <w:lvl w:ilvl="0">
      <w:lvlJc w:val="left"/>
      <w:lvlText w:val="%1."/>
      <w:numFmt w:val="decimal"/>
      <w:start w:val="10"/>
    </w:lvl>
  </w:abstractNum>
  <w:abstractNum w:abstractNumId="149">
    <w:nsid w:val="6B057295"/>
    <w:multiLevelType w:val="hybridMultilevel"/>
    <w:lvl w:ilvl="0">
      <w:lvlJc w:val="left"/>
      <w:lvlText w:val="%1."/>
      <w:numFmt w:val="decimal"/>
      <w:start w:val="12"/>
    </w:lvl>
  </w:abstractNum>
  <w:abstractNum w:abstractNumId="150">
    <w:nsid w:val="2771AC80"/>
    <w:multiLevelType w:val="hybridMultilevel"/>
    <w:lvl w:ilvl="0">
      <w:lvlJc w:val="left"/>
      <w:lvlText w:val="%1."/>
      <w:numFmt w:val="decimal"/>
      <w:start w:val="13"/>
    </w:lvl>
  </w:abstractNum>
  <w:abstractNum w:abstractNumId="151">
    <w:nsid w:val="1C4A08EC"/>
    <w:multiLevelType w:val="hybridMultilevel"/>
    <w:lvl w:ilvl="0">
      <w:lvlJc w:val="left"/>
      <w:lvlText w:val="%1."/>
      <w:numFmt w:val="decimal"/>
      <w:start w:val="14"/>
    </w:lvl>
  </w:abstractNum>
  <w:abstractNum w:abstractNumId="152">
    <w:nsid w:val="1958BD17"/>
    <w:multiLevelType w:val="hybridMultilevel"/>
    <w:lvl w:ilvl="0">
      <w:lvlJc w:val="left"/>
      <w:lvlText w:val="%1."/>
      <w:numFmt w:val="decimal"/>
      <w:start w:val="15"/>
    </w:lvl>
  </w:abstractNum>
  <w:abstractNum w:abstractNumId="153">
    <w:nsid w:val="4E647FE4"/>
    <w:multiLevelType w:val="hybridMultilevel"/>
    <w:lvl w:ilvl="0">
      <w:lvlJc w:val="left"/>
      <w:lvlText w:val="%1."/>
      <w:numFmt w:val="decimal"/>
      <w:start w:val="15"/>
    </w:lvl>
  </w:abstractNum>
  <w:abstractNum w:abstractNumId="154">
    <w:nsid w:val="E0BB885"/>
    <w:multiLevelType w:val="hybridMultilevel"/>
    <w:lvl w:ilvl="0">
      <w:lvlJc w:val="left"/>
      <w:lvlText w:val="%1."/>
      <w:numFmt w:val="decimal"/>
      <w:start w:val="15"/>
    </w:lvl>
    <w:lvl w:ilvl="1">
      <w:lvlJc w:val="left"/>
      <w:lvlText w:val="(%2)"/>
      <w:numFmt w:val="decimal"/>
      <w:start w:val="1"/>
    </w:lvl>
  </w:abstractNum>
  <w:abstractNum w:abstractNumId="155">
    <w:nsid w:val="565976F1"/>
    <w:multiLevelType w:val="hybridMultilevel"/>
    <w:lvl w:ilvl="0">
      <w:lvlJc w:val="left"/>
      <w:lvlText w:val="%1."/>
      <w:numFmt w:val="decimal"/>
      <w:start w:val="15"/>
    </w:lvl>
  </w:abstractNum>
  <w:abstractNum w:abstractNumId="156">
    <w:nsid w:val="64212B8C"/>
    <w:multiLevelType w:val="hybridMultilevel"/>
    <w:lvl w:ilvl="0">
      <w:lvlJc w:val="left"/>
      <w:lvlText w:val="(%1)"/>
      <w:numFmt w:val="decimal"/>
      <w:start w:val="1"/>
    </w:lvl>
  </w:abstractNum>
  <w:abstractNum w:abstractNumId="157">
    <w:nsid w:val="5C17530C"/>
    <w:multiLevelType w:val="hybridMultilevel"/>
    <w:lvl w:ilvl="0">
      <w:lvlJc w:val="left"/>
      <w:lvlText w:val="%1."/>
      <w:numFmt w:val="decimal"/>
      <w:start w:val="16"/>
    </w:lvl>
  </w:abstractNum>
  <w:abstractNum w:abstractNumId="158">
    <w:nsid w:val="19A52566"/>
    <w:multiLevelType w:val="hybridMultilevel"/>
    <w:lvl w:ilvl="0">
      <w:lvlJc w:val="left"/>
      <w:lvlText w:val="%1."/>
      <w:numFmt w:val="decimal"/>
      <w:start w:val="1"/>
    </w:lvl>
  </w:abstractNum>
  <w:abstractNum w:abstractNumId="159">
    <w:nsid w:val="335A1DF1"/>
    <w:multiLevelType w:val="hybridMultilevel"/>
    <w:lvl w:ilvl="0">
      <w:lvlJc w:val="left"/>
      <w:lvlText w:val="%1."/>
      <w:numFmt w:val="upperLetter"/>
      <w:start w:val="9"/>
    </w:lvl>
  </w:abstractNum>
  <w:abstractNum w:abstractNumId="160">
    <w:nsid w:val="28677B7C"/>
    <w:multiLevelType w:val="hybridMultilevel"/>
    <w:lvl w:ilvl="0">
      <w:lvlJc w:val="left"/>
      <w:lvlText w:val="%1."/>
      <w:numFmt w:val="upperLetter"/>
      <w:start w:val="35"/>
    </w:lvl>
  </w:abstractNum>
  <w:abstractNum w:abstractNumId="161">
    <w:nsid w:val="378D97C0"/>
    <w:multiLevelType w:val="hybridMultilevel"/>
    <w:lvl w:ilvl="0">
      <w:lvlJc w:val="left"/>
      <w:lvlText w:val="%1."/>
      <w:numFmt w:val="upperLetter"/>
      <w:start w:val="22"/>
    </w:lvl>
  </w:abstractNum>
  <w:abstractNum w:abstractNumId="162">
    <w:nsid w:val="1D91467C"/>
    <w:multiLevelType w:val="hybridMultilevel"/>
    <w:lvl w:ilvl="0">
      <w:lvlJc w:val="left"/>
      <w:lvlText w:val="(%1)"/>
      <w:numFmt w:val="decimal"/>
      <w:start w:val="1"/>
    </w:lvl>
  </w:abstractNum>
  <w:abstractNum w:abstractNumId="163">
    <w:nsid w:val="316032BB"/>
    <w:multiLevelType w:val="hybridMultilevel"/>
    <w:lvl w:ilvl="0">
      <w:lvlJc w:val="left"/>
      <w:lvlText w:val="%1."/>
      <w:numFmt w:val="upperLetter"/>
      <w:start w:val="9"/>
    </w:lvl>
  </w:abstractNum>
  <w:abstractNum w:abstractNumId="164">
    <w:nsid w:val="44344C22"/>
    <w:multiLevelType w:val="hybridMultilevel"/>
    <w:lvl w:ilvl="0">
      <w:lvlJc w:val="left"/>
      <w:lvlText w:val="[×]"/>
      <w:numFmt w:val="bullet"/>
      <w:start w:val="1"/>
    </w:lvl>
  </w:abstractNum>
  <w:abstractNum w:abstractNumId="165">
    <w:nsid w:val="13CDFCFC"/>
    <w:multiLevelType w:val="hybridMultilevel"/>
    <w:lvl w:ilvl="0">
      <w:lvlJc w:val="left"/>
      <w:lvlText w:val="[×]"/>
      <w:numFmt w:val="bullet"/>
      <w:start w:val="1"/>
    </w:lvl>
  </w:abstractNum>
  <w:abstractNum w:abstractNumId="166">
    <w:nsid w:val="471745E4"/>
    <w:multiLevelType w:val="hybridMultilevel"/>
    <w:lvl w:ilvl="0">
      <w:lvlJc w:val="left"/>
      <w:lvlText w:val="%1."/>
      <w:numFmt w:val="decimal"/>
      <w:start w:val="1"/>
    </w:lvl>
  </w:abstractNum>
  <w:abstractNum w:abstractNumId="167">
    <w:nsid w:val="1DDBC66"/>
    <w:multiLevelType w:val="hybridMultilevel"/>
    <w:lvl w:ilvl="0">
      <w:lvlJc w:val="left"/>
      <w:lvlText w:val="%1"/>
      <w:numFmt w:val="upperLetter"/>
      <w:start w:val="1"/>
    </w:lvl>
    <w:lvl w:ilvl="1">
      <w:lvlJc w:val="left"/>
      <w:lvlText w:val="%2."/>
      <w:numFmt w:val="decimal"/>
      <w:start w:val="6"/>
    </w:lvl>
  </w:abstractNum>
  <w:abstractNum w:abstractNumId="168">
    <w:nsid w:val="30AADFDA"/>
    <w:multiLevelType w:val="hybridMultilevel"/>
    <w:lvl w:ilvl="0">
      <w:lvlJc w:val="left"/>
      <w:lvlText w:val="%1."/>
      <w:numFmt w:val="upperLetter"/>
      <w:start w:val="35"/>
    </w:lvl>
    <w:lvl w:ilvl="1">
      <w:lvlJc w:val="left"/>
      <w:lvlText w:val="%2"/>
      <w:numFmt w:val="decimal"/>
      <w:start w:val="1"/>
    </w:lvl>
  </w:abstractNum>
  <w:abstractNum w:abstractNumId="169">
    <w:nsid w:val="30EADA61"/>
    <w:multiLevelType w:val="hybridMultilevel"/>
    <w:lvl w:ilvl="0">
      <w:lvlJc w:val="left"/>
      <w:lvlText w:val="%1."/>
      <w:numFmt w:val="decimal"/>
      <w:start w:val="1"/>
    </w:lvl>
  </w:abstractNum>
  <w:abstractNum w:abstractNumId="170">
    <w:nsid w:val="27179C0B"/>
    <w:multiLevelType w:val="hybridMultilevel"/>
    <w:lvl w:ilvl="0">
      <w:lvlJc w:val="left"/>
      <w:lvlText w:val="%1."/>
      <w:numFmt w:val="decimal"/>
      <w:start w:val="2"/>
    </w:lvl>
  </w:abstractNum>
  <w:abstractNum w:abstractNumId="171">
    <w:nsid w:val="5E636063"/>
    <w:multiLevelType w:val="hybridMultilevel"/>
    <w:lvl w:ilvl="0">
      <w:lvlJc w:val="left"/>
      <w:lvlText w:val="%1."/>
      <w:numFmt w:val="decimal"/>
      <w:start w:val="1"/>
    </w:lvl>
    <w:lvl w:ilvl="1">
      <w:lvlJc w:val="left"/>
      <w:lvlText w:val="(%2)"/>
      <w:numFmt w:val="decimal"/>
      <w:start w:val="1"/>
    </w:lvl>
  </w:abstractNum>
  <w:abstractNum w:abstractNumId="172">
    <w:nsid w:val="215641AF"/>
    <w:multiLevelType w:val="hybridMultilevel"/>
    <w:lvl w:ilvl="0">
      <w:lvlJc w:val="left"/>
      <w:lvlText w:val="%1."/>
      <w:numFmt w:val="decimal"/>
      <w:start w:val="1"/>
    </w:lvl>
  </w:abstractNum>
  <w:abstractNum w:abstractNumId="173">
    <w:nsid w:val="53280662"/>
    <w:multiLevelType w:val="hybridMultilevel"/>
    <w:lvl w:ilvl="0">
      <w:lvlJc w:val="left"/>
      <w:lvlText w:val="%1."/>
      <w:numFmt w:val="upperLetter"/>
      <w:start w:val="22"/>
    </w:lvl>
  </w:abstractNum>
  <w:abstractNum w:abstractNumId="174">
    <w:nsid w:val="46B24DBC"/>
    <w:multiLevelType w:val="hybridMultilevel"/>
    <w:lvl w:ilvl="0">
      <w:lvlJc w:val="left"/>
      <w:lvlText w:val="(%1)"/>
      <w:numFmt w:val="decimal"/>
      <w:start w:val="1"/>
    </w:lvl>
  </w:abstractNum>
  <w:abstractNum w:abstractNumId="175">
    <w:nsid w:val="75B52783"/>
    <w:multiLevelType w:val="hybridMultilevel"/>
    <w:lvl w:ilvl="0">
      <w:lvlJc w:val="left"/>
      <w:lvlText w:val="(%1)"/>
      <w:numFmt w:val="decimal"/>
      <w:start w:val="1"/>
    </w:lvl>
  </w:abstractNum>
  <w:abstractNum w:abstractNumId="176">
    <w:nsid w:val="57CE66B4"/>
    <w:multiLevelType w:val="hybridMultilevel"/>
    <w:lvl w:ilvl="0">
      <w:lvlJc w:val="left"/>
      <w:lvlText w:val="%1."/>
      <w:numFmt w:val="decimal"/>
      <w:start w:val="1"/>
    </w:lvl>
  </w:abstractNum>
  <w:abstractNum w:abstractNumId="177">
    <w:nsid w:val="67A70B69"/>
    <w:multiLevelType w:val="hybridMultilevel"/>
    <w:lvl w:ilvl="0">
      <w:lvlJc w:val="left"/>
      <w:lvlText w:val="%1."/>
      <w:numFmt w:val="decimal"/>
      <w:start w:val="5"/>
    </w:lvl>
  </w:abstractNum>
  <w:abstractNum w:abstractNumId="178">
    <w:nsid w:val="5953172F"/>
    <w:multiLevelType w:val="hybridMultilevel"/>
    <w:lvl w:ilvl="0">
      <w:lvlJc w:val="left"/>
      <w:lvlText w:val="%1."/>
      <w:numFmt w:val="decimal"/>
      <w:start w:val="1"/>
    </w:lvl>
  </w:abstractNum>
  <w:abstractNum w:abstractNumId="179">
    <w:nsid w:val="27EDFE3A"/>
    <w:multiLevelType w:val="hybridMultilevel"/>
    <w:lvl w:ilvl="0">
      <w:lvlJc w:val="left"/>
      <w:lvlText w:val="(%1)"/>
      <w:numFmt w:val="decimal"/>
      <w:start w:val="1"/>
    </w:lvl>
  </w:abstractNum>
  <w:abstractNum w:abstractNumId="180">
    <w:nsid w:val="52AC7DFF"/>
    <w:multiLevelType w:val="hybridMultilevel"/>
    <w:lvl w:ilvl="0">
      <w:lvlJc w:val="left"/>
      <w:lvlText w:val="%1."/>
      <w:numFmt w:val="decimal"/>
      <w:start w:val="3"/>
    </w:lvl>
  </w:abstractNum>
  <w:abstractNum w:abstractNumId="181">
    <w:nsid w:val="C4C3AF"/>
    <w:multiLevelType w:val="hybridMultilevel"/>
    <w:lvl w:ilvl="0">
      <w:lvlJc w:val="left"/>
      <w:lvlText w:val="%1."/>
      <w:numFmt w:val="decimal"/>
      <w:start w:val="1"/>
    </w:lvl>
  </w:abstractNum>
  <w:abstractNum w:abstractNumId="182">
    <w:nsid w:val="44380727"/>
    <w:multiLevelType w:val="hybridMultilevel"/>
    <w:lvl w:ilvl="0">
      <w:lvlJc w:val="left"/>
      <w:lvlText w:val="%1."/>
      <w:numFmt w:val="decimal"/>
      <w:start w:val="1"/>
    </w:lvl>
  </w:abstractNum>
  <w:abstractNum w:abstractNumId="183">
    <w:nsid w:val="6C053B16"/>
    <w:multiLevelType w:val="hybridMultilevel"/>
    <w:lvl w:ilvl="0">
      <w:lvlJc w:val="left"/>
      <w:lvlText w:val="%1."/>
      <w:numFmt w:val="decimal"/>
      <w:start w:val="1"/>
    </w:lvl>
  </w:abstractNum>
  <w:abstractNum w:abstractNumId="184">
    <w:nsid w:val="4F294393"/>
    <w:multiLevelType w:val="hybridMultilevel"/>
    <w:lvl w:ilvl="0">
      <w:lvlJc w:val="left"/>
      <w:lvlText w:val="%1."/>
      <w:numFmt w:val="decimal"/>
      <w:start w:val="1"/>
    </w:lvl>
  </w:abstractNum>
  <w:abstractNum w:abstractNumId="185">
    <w:nsid w:val="5243BFAC"/>
    <w:multiLevelType w:val="hybridMultilevel"/>
    <w:lvl w:ilvl="0">
      <w:lvlJc w:val="left"/>
      <w:lvlText w:val="%1."/>
      <w:numFmt w:val="decimal"/>
      <w:start w:val="1"/>
    </w:lvl>
  </w:abstractNum>
  <w:abstractNum w:abstractNumId="186">
    <w:nsid w:val="425EB207"/>
    <w:multiLevelType w:val="hybridMultilevel"/>
    <w:lvl w:ilvl="0">
      <w:lvlJc w:val="left"/>
      <w:lvlText w:val="%1."/>
      <w:numFmt w:val="decimal"/>
      <w:start w:val="3"/>
    </w:lvl>
  </w:abstractNum>
  <w:abstractNum w:abstractNumId="187">
    <w:nsid w:val="334A6F1F"/>
    <w:multiLevelType w:val="hybridMultilevel"/>
    <w:lvl w:ilvl="0">
      <w:lvlJc w:val="left"/>
      <w:lvlText w:val="%1."/>
      <w:numFmt w:val="decimal"/>
      <w:start w:val="1"/>
    </w:lvl>
  </w:abstractNum>
  <w:abstractNum w:abstractNumId="188">
    <w:nsid w:val="2E5B12B8"/>
    <w:multiLevelType w:val="hybridMultilevel"/>
    <w:lvl w:ilvl="0">
      <w:lvlJc w:val="left"/>
      <w:lvlText w:val="(%1)"/>
      <w:numFmt w:val="decimal"/>
      <w:start w:val="1"/>
    </w:lvl>
  </w:abstractNum>
  <w:abstractNum w:abstractNumId="189">
    <w:nsid w:val="5C03D76D"/>
    <w:multiLevelType w:val="hybridMultilevel"/>
    <w:lvl w:ilvl="0">
      <w:lvlJc w:val="left"/>
      <w:lvlText w:val="%1."/>
      <w:numFmt w:val="decimal"/>
      <w:start w:val="1"/>
    </w:lvl>
  </w:abstractNum>
  <w:abstractNum w:abstractNumId="190">
    <w:nsid w:val="66A48D11"/>
    <w:multiLevelType w:val="hybridMultilevel"/>
    <w:lvl w:ilvl="0">
      <w:lvlJc w:val="left"/>
      <w:lvlText w:val="%1."/>
      <w:numFmt w:val="decimal"/>
      <w:start w:val="2"/>
    </w:lvl>
  </w:abstractNum>
  <w:abstractNum w:abstractNumId="191">
    <w:nsid w:val="56C28E34"/>
    <w:multiLevelType w:val="hybridMultilevel"/>
    <w:lvl w:ilvl="0">
      <w:lvlJc w:val="left"/>
      <w:lvlText w:val="(%1)"/>
      <w:numFmt w:val="decimal"/>
      <w:start w:val="1"/>
    </w:lvl>
  </w:abstractNum>
  <w:abstractNum w:abstractNumId="192">
    <w:nsid w:val="13916F2D"/>
    <w:multiLevelType w:val="hybridMultilevel"/>
    <w:lvl w:ilvl="0">
      <w:lvlJc w:val="left"/>
      <w:lvlText w:val="%1."/>
      <w:numFmt w:val="decimal"/>
      <w:start w:val="3"/>
    </w:lvl>
  </w:abstractNum>
  <w:abstractNum w:abstractNumId="193">
    <w:nsid w:val="435D38D"/>
    <w:multiLevelType w:val="hybridMultilevel"/>
    <w:lvl w:ilvl="0">
      <w:lvlJc w:val="left"/>
      <w:lvlText w:val="%1."/>
      <w:numFmt w:val="decimal"/>
      <w:start w:val="1"/>
    </w:lvl>
  </w:abstractNum>
  <w:abstractNum w:abstractNumId="194">
    <w:nsid w:val="822C0EF"/>
    <w:multiLevelType w:val="hybridMultilevel"/>
    <w:lvl w:ilvl="0">
      <w:lvlJc w:val="left"/>
      <w:lvlText w:val="%1."/>
      <w:numFmt w:val="decimal"/>
      <w:start w:val="2"/>
    </w:lvl>
  </w:abstractNum>
  <w:abstractNum w:abstractNumId="195">
    <w:nsid w:val="57C5BB4F"/>
    <w:multiLevelType w:val="hybridMultilevel"/>
    <w:lvl w:ilvl="0">
      <w:lvlJc w:val="left"/>
      <w:lvlText w:val="%1."/>
      <w:numFmt w:val="decimal"/>
      <w:start w:val="3"/>
    </w:lvl>
  </w:abstractNum>
  <w:abstractNum w:abstractNumId="196">
    <w:nsid w:val="1803D089"/>
    <w:multiLevelType w:val="hybridMultilevel"/>
    <w:lvl w:ilvl="0">
      <w:lvlJc w:val="left"/>
      <w:lvlText w:val="(%1)"/>
      <w:numFmt w:val="decimal"/>
      <w:start w:val="1"/>
    </w:lvl>
  </w:abstractNum>
  <w:abstractNum w:abstractNumId="197">
    <w:nsid w:val="4F3A06D4"/>
    <w:multiLevelType w:val="hybridMultilevel"/>
    <w:lvl w:ilvl="0">
      <w:lvlJc w:val="left"/>
      <w:lvlText w:val="%1."/>
      <w:numFmt w:val="decimal"/>
      <w:start w:val="4"/>
    </w:lvl>
  </w:abstractNum>
  <w:abstractNum w:abstractNumId="198">
    <w:nsid w:val="59A377B6"/>
    <w:multiLevelType w:val="hybridMultilevel"/>
    <w:lvl w:ilvl="0">
      <w:lvlJc w:val="left"/>
      <w:lvlText w:val="(%1)"/>
      <w:numFmt w:val="decimal"/>
      <w:start w:val="1"/>
    </w:lvl>
  </w:abstractNum>
  <w:abstractNum w:abstractNumId="199">
    <w:nsid w:val="48AEB063"/>
    <w:multiLevelType w:val="hybridMultilevel"/>
    <w:lvl w:ilvl="0">
      <w:lvlJc w:val="left"/>
      <w:lvlText w:val="%1."/>
      <w:numFmt w:val="decimal"/>
      <w:start w:val="1"/>
    </w:lvl>
  </w:abstractNum>
  <w:abstractNum w:abstractNumId="200">
    <w:nsid w:val="24E135"/>
    <w:multiLevelType w:val="hybridMultilevel"/>
    <w:lvl w:ilvl="0">
      <w:lvlJc w:val="left"/>
      <w:lvlText w:val="%1."/>
      <w:numFmt w:val="decimal"/>
      <w:start w:val="3"/>
    </w:lvl>
  </w:abstractNum>
  <w:abstractNum w:abstractNumId="201">
    <w:nsid w:val="BB13C1"/>
    <w:multiLevelType w:val="hybridMultilevel"/>
    <w:lvl w:ilvl="0">
      <w:lvlJc w:val="left"/>
      <w:lvlText w:val="%1."/>
      <w:numFmt w:val="decimal"/>
      <w:start w:val="1"/>
    </w:lvl>
  </w:abstractNum>
  <w:abstractNum w:abstractNumId="202">
    <w:nsid w:val="271210C7"/>
    <w:multiLevelType w:val="hybridMultilevel"/>
    <w:lvl w:ilvl="0">
      <w:lvlJc w:val="left"/>
      <w:lvlText w:val="%1."/>
      <w:numFmt w:val="decimal"/>
      <w:start w:val="1"/>
    </w:lvl>
  </w:abstractNum>
  <w:abstractNum w:abstractNumId="203">
    <w:nsid w:val="217B22E4"/>
    <w:multiLevelType w:val="hybridMultilevel"/>
    <w:lvl w:ilvl="0">
      <w:lvlJc w:val="left"/>
      <w:lvlText w:val="%1."/>
      <w:numFmt w:val="decimal"/>
      <w:start w:val="1"/>
    </w:lvl>
  </w:abstractNum>
  <w:abstractNum w:abstractNumId="204">
    <w:nsid w:val="53E31A24"/>
    <w:multiLevelType w:val="hybridMultilevel"/>
    <w:lvl w:ilvl="0">
      <w:lvlJc w:val="left"/>
      <w:lvlText w:val="(%1)"/>
      <w:numFmt w:val="decimal"/>
      <w:start w:val="1"/>
    </w:lvl>
  </w:abstractNum>
  <w:abstractNum w:abstractNumId="205">
    <w:nsid w:val="6DC45E83"/>
    <w:multiLevelType w:val="hybridMultilevel"/>
    <w:lvl w:ilvl="0">
      <w:lvlJc w:val="left"/>
      <w:lvlText w:val="(%1)"/>
      <w:numFmt w:val="decimal"/>
      <w:start w:val="1"/>
    </w:lvl>
  </w:abstractNum>
  <w:abstractNum w:abstractNumId="206">
    <w:nsid w:val="17304A67"/>
    <w:multiLevelType w:val="hybridMultilevel"/>
    <w:lvl w:ilvl="0">
      <w:lvlJc w:val="left"/>
      <w:lvlText w:val="%1."/>
      <w:numFmt w:val="upperLetter"/>
      <w:start w:val="24"/>
    </w:lvl>
  </w:abstractNum>
  <w:abstractNum w:abstractNumId="207">
    <w:nsid w:val="2BB180D8"/>
    <w:multiLevelType w:val="hybridMultilevel"/>
    <w:lvl w:ilvl="0">
      <w:lvlJc w:val="left"/>
      <w:lvlText w:val="%1."/>
      <w:numFmt w:val="decimal"/>
      <w:start w:val="1"/>
    </w:lvl>
  </w:abstractNum>
  <w:abstractNum w:abstractNumId="208">
    <w:nsid w:val="556B69ED"/>
    <w:multiLevelType w:val="hybridMultilevel"/>
    <w:lvl w:ilvl="0">
      <w:lvlJc w:val="left"/>
      <w:lvlText w:val="%1."/>
      <w:numFmt w:val="decimal"/>
      <w:start w:val="1"/>
    </w:lvl>
  </w:abstractNum>
  <w:abstractNum w:abstractNumId="209">
    <w:nsid w:val="70836196"/>
    <w:multiLevelType w:val="hybridMultilevel"/>
    <w:lvl w:ilvl="0">
      <w:lvlJc w:val="left"/>
      <w:lvlText w:val="%1."/>
      <w:numFmt w:val="decimal"/>
      <w:start w:val="1"/>
    </w:lvl>
  </w:abstractNum>
  <w:abstractNum w:abstractNumId="210">
    <w:nsid w:val="539F7F12"/>
    <w:multiLevelType w:val="hybridMultilevel"/>
    <w:lvl w:ilvl="0">
      <w:lvlJc w:val="left"/>
      <w:lvlText w:val="(%1)"/>
      <w:numFmt w:val="decimal"/>
      <w:start w:val="1"/>
    </w:lvl>
  </w:abstractNum>
  <w:abstractNum w:abstractNumId="211">
    <w:nsid w:val="2817E7EC"/>
    <w:multiLevelType w:val="hybridMultilevel"/>
    <w:lvl w:ilvl="0">
      <w:lvlJc w:val="left"/>
      <w:lvlText w:val="(%1)"/>
      <w:numFmt w:val="decimal"/>
      <w:start w:val="1"/>
    </w:lvl>
  </w:abstractNum>
  <w:abstractNum w:abstractNumId="212">
    <w:nsid w:val="71482545"/>
    <w:multiLevelType w:val="hybridMultilevel"/>
    <w:lvl w:ilvl="0">
      <w:lvlJc w:val="left"/>
      <w:lvlText w:val="(%1)"/>
      <w:numFmt w:val="decimal"/>
      <w:start w:val="2"/>
    </w:lvl>
  </w:abstractNum>
  <w:abstractNum w:abstractNumId="213">
    <w:nsid w:val="17D78639"/>
    <w:multiLevelType w:val="hybridMultilevel"/>
    <w:lvl w:ilvl="0">
      <w:lvlJc w:val="left"/>
      <w:lvlText w:val="(%1)"/>
      <w:numFmt w:val="decimal"/>
      <w:start w:val="1"/>
    </w:lvl>
  </w:abstractNum>
  <w:abstractNum w:abstractNumId="214">
    <w:nsid w:val="141D2302"/>
    <w:multiLevelType w:val="hybridMultilevel"/>
    <w:lvl w:ilvl="0">
      <w:lvlJc w:val="left"/>
      <w:lvlText w:val="(%1)"/>
      <w:numFmt w:val="decimal"/>
      <w:start w:val="2"/>
    </w:lvl>
  </w:abstractNum>
  <w:abstractNum w:abstractNumId="215">
    <w:nsid w:val="407168D8"/>
    <w:multiLevelType w:val="hybridMultilevel"/>
    <w:lvl w:ilvl="0">
      <w:lvlJc w:val="left"/>
      <w:lvlText w:val="(%1)"/>
      <w:numFmt w:val="decimal"/>
      <w:start w:val="1"/>
    </w:lvl>
  </w:abstractNum>
  <w:abstractNum w:abstractNumId="216">
    <w:nsid w:val="6A1B45E5"/>
    <w:multiLevelType w:val="hybridMultilevel"/>
    <w:lvl w:ilvl="0">
      <w:lvlJc w:val="left"/>
      <w:lvlText w:val="(%1)"/>
      <w:numFmt w:val="decimal"/>
      <w:start w:val="5"/>
    </w:lvl>
  </w:abstractNum>
  <w:abstractNum w:abstractNumId="217">
    <w:nsid w:val="567BD50A"/>
    <w:multiLevelType w:val="hybridMultilevel"/>
    <w:lvl w:ilvl="0">
      <w:lvlJc w:val="left"/>
      <w:lvlText w:val="(%1)"/>
      <w:numFmt w:val="decimal"/>
      <w:start w:val="1"/>
    </w:lvl>
  </w:abstractNum>
  <w:abstractNum w:abstractNumId="218">
    <w:nsid w:val="73BBD7F8"/>
    <w:multiLevelType w:val="hybridMultilevel"/>
    <w:lvl w:ilvl="0">
      <w:lvlJc w:val="left"/>
      <w:lvlText w:val="(%1)"/>
      <w:numFmt w:val="lowerLetter"/>
      <w:start w:val="1"/>
    </w:lvl>
  </w:abstractNum>
  <w:abstractNum w:abstractNumId="219">
    <w:nsid w:val="1876589D"/>
    <w:multiLevelType w:val="hybridMultilevel"/>
    <w:lvl w:ilvl="0">
      <w:lvlJc w:val="left"/>
      <w:lvlText w:val="(%1)"/>
      <w:numFmt w:val="decimal"/>
      <w:start w:val="1"/>
    </w:lvl>
  </w:abstractNum>
  <w:abstractNum w:abstractNumId="220">
    <w:nsid w:val="327FAC77"/>
    <w:multiLevelType w:val="hybridMultilevel"/>
    <w:lvl w:ilvl="0">
      <w:lvlJc w:val="left"/>
      <w:lvlText w:val="(%1)"/>
      <w:numFmt w:val="decimal"/>
      <w:start w:val="14"/>
    </w:lvl>
  </w:abstractNum>
  <w:abstractNum w:abstractNumId="221">
    <w:nsid w:val="5A606509"/>
    <w:multiLevelType w:val="hybridMultilevel"/>
    <w:lvl w:ilvl="0">
      <w:lvlJc w:val="left"/>
      <w:lvlText w:val="(%1)"/>
      <w:numFmt w:val="decimal"/>
      <w:start w:val="23"/>
    </w:lvl>
  </w:abstractNum>
  <w:abstractNum w:abstractNumId="222">
    <w:nsid w:val="6F38E6D1"/>
    <w:multiLevelType w:val="hybridMultilevel"/>
    <w:lvl w:ilvl="0">
      <w:lvlJc w:val="left"/>
      <w:lvlText w:val="(%1)"/>
      <w:numFmt w:val="decimal"/>
      <w:start w:val="1"/>
    </w:lvl>
  </w:abstractNum>
  <w:abstractNum w:abstractNumId="223">
    <w:nsid w:val="46111BA5"/>
    <w:multiLevelType w:val="hybridMultilevel"/>
    <w:lvl w:ilvl="0">
      <w:lvlJc w:val="left"/>
      <w:lvlText w:val="(%1)"/>
      <w:numFmt w:val="decimal"/>
      <w:start w:val="1"/>
    </w:lvl>
  </w:abstractNum>
  <w:abstractNum w:abstractNumId="224">
    <w:nsid w:val="5E963896"/>
    <w:multiLevelType w:val="hybridMultilevel"/>
    <w:lvl w:ilvl="0">
      <w:lvlJc w:val="left"/>
      <w:lvlText w:val="(%1)"/>
      <w:numFmt w:val="decimal"/>
      <w:start w:val="2"/>
    </w:lvl>
  </w:abstractNum>
  <w:abstractNum w:abstractNumId="225">
    <w:nsid w:val="775BA7C1"/>
    <w:multiLevelType w:val="hybridMultilevel"/>
    <w:lvl w:ilvl="0">
      <w:lvlJc w:val="left"/>
      <w:lvlText w:val="(%1)"/>
      <w:numFmt w:val="decimal"/>
      <w:start w:val="1"/>
    </w:lvl>
  </w:abstractNum>
  <w:abstractNum w:abstractNumId="226">
    <w:nsid w:val="1DD6D6F4"/>
    <w:multiLevelType w:val="hybridMultilevel"/>
    <w:lvl w:ilvl="0">
      <w:lvlJc w:val="left"/>
      <w:lvlText w:val="(%1)"/>
      <w:numFmt w:val="decimal"/>
      <w:start w:val="1"/>
    </w:lvl>
  </w:abstractNum>
  <w:abstractNum w:abstractNumId="227">
    <w:nsid w:val="769A091F"/>
    <w:multiLevelType w:val="hybridMultilevel"/>
    <w:lvl w:ilvl="0">
      <w:lvlJc w:val="left"/>
      <w:lvlText w:val="%1)"/>
      <w:numFmt w:val="decimal"/>
      <w:start w:val="1"/>
    </w:lvl>
  </w:abstractNum>
  <w:abstractNum w:abstractNumId="228">
    <w:nsid w:val="4695AE95"/>
    <w:multiLevelType w:val="hybridMultilevel"/>
    <w:lvl w:ilvl="0">
      <w:lvlJc w:val="left"/>
      <w:lvlText w:val="(%1)"/>
      <w:numFmt w:val="decimal"/>
      <w:start w:val="1"/>
    </w:lvl>
  </w:abstractNum>
  <w:abstractNum w:abstractNumId="229">
    <w:nsid w:val="777A4EAA"/>
    <w:multiLevelType w:val="hybridMultilevel"/>
    <w:lvl w:ilvl="0">
      <w:lvlJc w:val="left"/>
      <w:lvlText w:val="%1."/>
      <w:numFmt w:val="decimal"/>
      <w:start w:val="1"/>
    </w:lvl>
  </w:abstractNum>
  <w:abstractNum w:abstractNumId="230">
    <w:nsid w:val="3F48B982"/>
    <w:multiLevelType w:val="hybridMultilevel"/>
    <w:lvl w:ilvl="0">
      <w:lvlJc w:val="left"/>
      <w:lvlText w:val="%1."/>
      <w:numFmt w:val="decimal"/>
      <w:start w:val="1"/>
    </w:lvl>
  </w:abstractNum>
  <w:abstractNum w:abstractNumId="231">
    <w:nsid w:val="46BA8FCA"/>
    <w:multiLevelType w:val="hybridMultilevel"/>
    <w:lvl w:ilvl="0">
      <w:lvlJc w:val="left"/>
      <w:lvlText w:val="%1."/>
      <w:numFmt w:val="decimal"/>
      <w:start w:val="1"/>
    </w:lvl>
  </w:abstractNum>
  <w:abstractNum w:abstractNumId="232">
    <w:nsid w:val="7835626C"/>
    <w:multiLevelType w:val="hybridMultilevel"/>
    <w:lvl w:ilvl="0">
      <w:lvlJc w:val="left"/>
      <w:lvlText w:val="%1."/>
      <w:numFmt w:val="decimal"/>
      <w:start w:val="10"/>
    </w:lvl>
  </w:abstractNum>
  <w:abstractNum w:abstractNumId="233">
    <w:nsid w:val="665ACA49"/>
    <w:multiLevelType w:val="hybridMultilevel"/>
    <w:lvl w:ilvl="0">
      <w:lvlJc w:val="left"/>
      <w:lvlText w:val="(%1)"/>
      <w:numFmt w:val="decimal"/>
      <w:start w:val="1"/>
    </w:lvl>
  </w:abstractNum>
  <w:abstractNum w:abstractNumId="234">
    <w:nsid w:val="6835B2AE"/>
    <w:multiLevelType w:val="hybridMultilevel"/>
    <w:lvl w:ilvl="0">
      <w:lvlJc w:val="left"/>
      <w:lvlText w:val="%1."/>
      <w:numFmt w:val="decimal"/>
      <w:start w:val="2"/>
    </w:lvl>
  </w:abstractNum>
  <w:abstractNum w:abstractNumId="235">
    <w:nsid w:val="4C187C90"/>
    <w:multiLevelType w:val="hybridMultilevel"/>
    <w:lvl w:ilvl="0">
      <w:lvlJc w:val="left"/>
      <w:lvlText w:val="%1."/>
      <w:numFmt w:val="decimal"/>
      <w:start w:val="1"/>
    </w:lvl>
  </w:abstractNum>
  <w:abstractNum w:abstractNumId="236">
    <w:nsid w:val="541F28CD"/>
    <w:multiLevelType w:val="hybridMultilevel"/>
    <w:lvl w:ilvl="0">
      <w:lvlJc w:val="left"/>
      <w:lvlText w:val="(%1)"/>
      <w:numFmt w:val="decimal"/>
      <w:start w:val="1"/>
    </w:lvl>
  </w:abstractNum>
  <w:abstractNum w:abstractNumId="237">
    <w:nsid w:val="7F65FD16"/>
    <w:multiLevelType w:val="hybridMultilevel"/>
    <w:lvl w:ilvl="0">
      <w:lvlJc w:val="left"/>
      <w:lvlText w:val="(%1)"/>
      <w:numFmt w:val="decimal"/>
      <w:start w:val="1"/>
    </w:lvl>
  </w:abstractNum>
  <w:abstractNum w:abstractNumId="238">
    <w:nsid w:val="77C9FD68"/>
    <w:multiLevelType w:val="hybridMultilevel"/>
    <w:lvl w:ilvl="0">
      <w:lvlJc w:val="left"/>
      <w:lvlText w:val="(%1)"/>
      <w:numFmt w:val="decimal"/>
      <w:start w:val="1"/>
    </w:lvl>
  </w:abstractNum>
  <w:abstractNum w:abstractNumId="239">
    <w:nsid w:val="298A92BA"/>
    <w:multiLevelType w:val="hybridMultilevel"/>
    <w:lvl w:ilvl="0">
      <w:lvlJc w:val="left"/>
      <w:lvlText w:val="(%1)"/>
      <w:numFmt w:val="lowerLetter"/>
      <w:start w:val="1"/>
    </w:lvl>
  </w:abstractNum>
  <w:abstractNum w:abstractNumId="240">
    <w:nsid w:val="6FE95EAC"/>
    <w:multiLevelType w:val="hybridMultilevel"/>
    <w:lvl w:ilvl="0">
      <w:lvlJc w:val="left"/>
      <w:lvlText w:val="(%1)"/>
      <w:numFmt w:val="decimal"/>
      <w:start w:val="3"/>
    </w:lvl>
  </w:abstractNum>
  <w:abstractNum w:abstractNumId="241">
    <w:nsid w:val="4B697C7A"/>
    <w:multiLevelType w:val="hybridMultilevel"/>
    <w:lvl w:ilvl="0">
      <w:lvlJc w:val="left"/>
      <w:lvlText w:val="%1."/>
      <w:numFmt w:val="decimal"/>
      <w:start w:val="1"/>
    </w:lvl>
  </w:abstractNum>
  <w:abstractNum w:abstractNumId="242">
    <w:nsid w:val="51A27AA6"/>
    <w:multiLevelType w:val="hybridMultilevel"/>
    <w:lvl w:ilvl="0">
      <w:lvlJc w:val="left"/>
      <w:lvlText w:val="%1."/>
      <w:numFmt w:val="decimal"/>
      <w:start w:val="1"/>
    </w:lvl>
  </w:abstractNum>
  <w:abstractNum w:abstractNumId="243">
    <w:nsid w:val="613183F2"/>
    <w:multiLevelType w:val="hybridMultilevel"/>
    <w:lvl w:ilvl="0">
      <w:lvlJc w:val="left"/>
      <w:lvlText w:val="%1."/>
      <w:numFmt w:val="decimal"/>
      <w:start w:val="1"/>
    </w:lvl>
  </w:abstractNum>
  <w:abstractNum w:abstractNumId="244">
    <w:nsid w:val="634102B4"/>
    <w:multiLevelType w:val="hybridMultilevel"/>
    <w:lvl w:ilvl="0">
      <w:lvlJc w:val="left"/>
      <w:lvlText w:val="%1."/>
      <w:numFmt w:val="decimal"/>
      <w:start w:val="1"/>
    </w:lvl>
  </w:abstractNum>
  <w:abstractNum w:abstractNumId="245">
    <w:nsid w:val="65BF9DA8"/>
    <w:multiLevelType w:val="hybridMultilevel"/>
    <w:lvl w:ilvl="0">
      <w:lvlJc w:val="left"/>
      <w:lvlText w:val="%1."/>
      <w:numFmt w:val="decimal"/>
      <w:start w:val="2"/>
    </w:lvl>
  </w:abstractNum>
  <w:abstractNum w:abstractNumId="246">
    <w:nsid w:val="21A2ECCA"/>
    <w:multiLevelType w:val="hybridMultilevel"/>
    <w:lvl w:ilvl="0">
      <w:lvlJc w:val="left"/>
      <w:lvlText w:val="%1."/>
      <w:numFmt w:val="decimal"/>
      <w:start w:val="1"/>
    </w:lvl>
  </w:abstractNum>
  <w:abstractNum w:abstractNumId="247">
    <w:nsid w:val="4D5C4899"/>
    <w:multiLevelType w:val="hybridMultilevel"/>
    <w:lvl w:ilvl="0">
      <w:lvlJc w:val="left"/>
      <w:lvlText w:val="%1."/>
      <w:numFmt w:val="decimal"/>
      <w:start w:val="1"/>
    </w:lvl>
  </w:abstractNum>
  <w:abstractNum w:abstractNumId="248">
    <w:nsid w:val="3C3B72B2"/>
    <w:multiLevelType w:val="hybridMultilevel"/>
    <w:lvl w:ilvl="0">
      <w:lvlJc w:val="left"/>
      <w:lvlText w:val="%1."/>
      <w:numFmt w:val="decimal"/>
      <w:start w:val="1"/>
    </w:lvl>
  </w:abstractNum>
  <w:abstractNum w:abstractNumId="249">
    <w:nsid w:val="155EC4C2"/>
    <w:multiLevelType w:val="hybridMultilevel"/>
    <w:lvl w:ilvl="0">
      <w:lvlJc w:val="left"/>
      <w:lvlText w:val="%1."/>
      <w:numFmt w:val="decimal"/>
      <w:start w:val="2"/>
    </w:lvl>
  </w:abstractNum>
  <w:abstractNum w:abstractNumId="250">
    <w:nsid w:val="65D2A137"/>
    <w:multiLevelType w:val="hybridMultilevel"/>
    <w:lvl w:ilvl="0">
      <w:lvlJc w:val="left"/>
      <w:lvlText w:val="%1."/>
      <w:numFmt w:val="upperLetter"/>
      <w:start w:val="50"/>
    </w:lvl>
  </w:abstractNum>
  <w:abstractNum w:abstractNumId="251">
    <w:nsid w:val="6EBB1F2A"/>
    <w:multiLevelType w:val="hybridMultilevel"/>
    <w:lvl w:ilvl="0">
      <w:lvlJc w:val="left"/>
      <w:lvlText w:val="%1."/>
      <w:numFmt w:val="decimal"/>
      <w:start w:val="1"/>
    </w:lvl>
  </w:abstractNum>
  <w:abstractNum w:abstractNumId="252">
    <w:nsid w:val="6FBF29CB"/>
    <w:multiLevelType w:val="hybridMultilevel"/>
    <w:lvl w:ilvl="0">
      <w:lvlJc w:val="left"/>
      <w:lvlText w:val="%1."/>
      <w:numFmt w:val="decimal"/>
      <w:start w:val="6"/>
    </w:lvl>
  </w:abstractNum>
  <w:abstractNum w:abstractNumId="253">
    <w:nsid w:val="550B8808"/>
    <w:multiLevelType w:val="hybridMultilevel"/>
    <w:lvl w:ilvl="0">
      <w:lvlJc w:val="left"/>
      <w:lvlText w:val="%1."/>
      <w:numFmt w:val="decimal"/>
      <w:start w:val="1"/>
    </w:lvl>
  </w:abstractNum>
  <w:abstractNum w:abstractNumId="254">
    <w:nsid w:val="34CC3ACF"/>
    <w:multiLevelType w:val="hybridMultilevel"/>
    <w:lvl w:ilvl="0">
      <w:lvlJc w:val="left"/>
      <w:lvlText w:val="%1."/>
      <w:numFmt w:val="decimal"/>
      <w:start w:val="1"/>
    </w:lvl>
  </w:abstractNum>
  <w:abstractNum w:abstractNumId="255">
    <w:nsid w:val="4E556261"/>
    <w:multiLevelType w:val="hybridMultilevel"/>
    <w:lvl w:ilvl="0">
      <w:lvlJc w:val="left"/>
      <w:lvlText w:val="%1."/>
      <w:numFmt w:val="decimal"/>
      <w:start w:val="2"/>
    </w:lvl>
  </w:abstractNum>
  <w:abstractNum w:abstractNumId="256">
    <w:nsid w:val="4C672FC9"/>
    <w:multiLevelType w:val="hybridMultilevel"/>
    <w:lvl w:ilvl="0">
      <w:lvlJc w:val="left"/>
      <w:lvlText w:val="%1."/>
      <w:numFmt w:val="decimal"/>
      <w:start w:val="1"/>
    </w:lvl>
  </w:abstractNum>
  <w:abstractNum w:abstractNumId="257">
    <w:nsid w:val="52A311C3"/>
    <w:multiLevelType w:val="hybridMultilevel"/>
    <w:lvl w:ilvl="0">
      <w:lvlJc w:val="left"/>
      <w:lvlText w:val="(%1)"/>
      <w:numFmt w:val="decimal"/>
      <w:start w:val="1"/>
    </w:lvl>
  </w:abstractNum>
  <w:abstractNum w:abstractNumId="258">
    <w:nsid w:val="44EF6B80"/>
    <w:multiLevelType w:val="hybridMultilevel"/>
    <w:lvl w:ilvl="0">
      <w:lvlJc w:val="left"/>
      <w:lvlText w:val="%1."/>
      <w:numFmt w:val="decimal"/>
      <w:start w:val="1"/>
    </w:lvl>
  </w:abstractNum>
  <w:abstractNum w:abstractNumId="259">
    <w:nsid w:val="12FCDE5E"/>
    <w:multiLevelType w:val="hybridMultilevel"/>
    <w:lvl w:ilvl="0">
      <w:lvlJc w:val="left"/>
      <w:lvlText w:val="%1."/>
      <w:numFmt w:val="upperLetter"/>
      <w:start w:val="1"/>
    </w:lvl>
  </w:abstractNum>
  <w:abstractNum w:abstractNumId="260">
    <w:nsid w:val="4A1D606E"/>
    <w:multiLevelType w:val="hybridMultilevel"/>
    <w:lvl w:ilvl="0">
      <w:lvlJc w:val="left"/>
      <w:lvlText w:val="•"/>
      <w:numFmt w:val="bullet"/>
      <w:start w:val="1"/>
    </w:lvl>
  </w:abstractNum>
  <w:abstractNum w:abstractNumId="261">
    <w:nsid w:val="4382503"/>
    <w:multiLevelType w:val="hybridMultilevel"/>
    <w:lvl w:ilvl="0">
      <w:lvlJc w:val="left"/>
      <w:lvlText w:val="%1."/>
      <w:numFmt w:val="upperLetter"/>
      <w:start w:val="2"/>
    </w:lvl>
  </w:abstractNum>
  <w:abstractNum w:abstractNumId="262">
    <w:nsid w:val="59B76E28"/>
    <w:multiLevelType w:val="hybridMultilevel"/>
    <w:lvl w:ilvl="0">
      <w:lvlJc w:val="left"/>
      <w:lvlText w:val="%1"/>
      <w:numFmt w:val="upperLetter"/>
      <w:start w:val="1"/>
    </w:lvl>
    <w:lvl w:ilvl="1">
      <w:lvlJc w:val="left"/>
      <w:lvlText w:val="%2."/>
      <w:numFmt w:val="upperLetter"/>
      <w:start w:val="3"/>
    </w:lvl>
  </w:abstractNum>
  <w:abstractNum w:abstractNumId="263">
    <w:nsid w:val="4252C2DA"/>
    <w:multiLevelType w:val="hybridMultilevel"/>
    <w:lvl w:ilvl="0">
      <w:lvlJc w:val="left"/>
      <w:lvlText w:val="%1."/>
      <w:numFmt w:val="upperLetter"/>
      <w:start w:val="7"/>
    </w:lvl>
    <w:lvl w:ilvl="1">
      <w:lvlJc w:val="left"/>
      <w:lvlText w:val="%2."/>
      <w:numFmt w:val="upperLetter"/>
      <w:start w:val="9"/>
    </w:lvl>
  </w:abstractNum>
  <w:abstractNum w:abstractNumId="264">
    <w:nsid w:val="6A92EF4C"/>
    <w:multiLevelType w:val="hybridMultilevel"/>
    <w:lvl w:ilvl="0">
      <w:lvlJc w:val="left"/>
      <w:lvlText w:val="%1."/>
      <w:numFmt w:val="upperLetter"/>
      <w:start w:val="10"/>
    </w:lvl>
  </w:abstractNum>
  <w:abstractNum w:abstractNumId="265">
    <w:nsid w:val="41ED20D7"/>
    <w:multiLevelType w:val="hybridMultilevel"/>
    <w:lvl w:ilvl="0">
      <w:lvlJc w:val="left"/>
      <w:lvlText w:val="%1."/>
      <w:numFmt w:val="upperLetter"/>
      <w:start w:val="12"/>
    </w:lvl>
  </w:abstractNum>
  <w:abstractNum w:abstractNumId="266">
    <w:nsid w:val="E6B3F6A"/>
    <w:multiLevelType w:val="hybridMultilevel"/>
    <w:lvl w:ilvl="0">
      <w:lvlJc w:val="left"/>
      <w:lvlText w:val="%1."/>
      <w:numFmt w:val="upperLetter"/>
      <w:start w:val="13"/>
    </w:lvl>
  </w:abstractNum>
  <w:abstractNum w:abstractNumId="267">
    <w:nsid w:val="3EB21819"/>
    <w:multiLevelType w:val="hybridMultilevel"/>
    <w:lvl w:ilvl="0">
      <w:lvlJc w:val="left"/>
      <w:lvlText w:val=" "/>
      <w:numFmt w:val="bullet"/>
      <w:start w:val="1"/>
    </w:lvl>
  </w:abstractNum>
  <w:abstractNum w:abstractNumId="268">
    <w:nsid w:val="41531DED"/>
    <w:multiLevelType w:val="hybridMultilevel"/>
    <w:lvl w:ilvl="0">
      <w:lvlJc w:val="left"/>
      <w:lvlText w:val="•"/>
      <w:numFmt w:val="bullet"/>
      <w:start w:val="1"/>
    </w:lvl>
  </w:abstractNum>
  <w:abstractNum w:abstractNumId="269">
    <w:nsid w:val="6353CD2"/>
    <w:multiLevelType w:val="hybridMultilevel"/>
    <w:lvl w:ilvl="0">
      <w:lvlJc w:val="left"/>
      <w:lvlText w:val="•"/>
      <w:numFmt w:val="bullet"/>
      <w:start w:val="1"/>
    </w:lvl>
  </w:abstractNum>
  <w:abstractNum w:abstractNumId="270">
    <w:nsid w:val="683CAAD3"/>
    <w:multiLevelType w:val="hybridMultilevel"/>
    <w:lvl w:ilvl="0">
      <w:lvlJc w:val="left"/>
      <w:lvlText w:val=" "/>
      <w:numFmt w:val="bullet"/>
      <w:start w:val="1"/>
    </w:lvl>
  </w:abstractNum>
  <w:abstractNum w:abstractNumId="271">
    <w:nsid w:val="313C7C99"/>
    <w:multiLevelType w:val="hybridMultilevel"/>
    <w:lvl w:ilvl="0">
      <w:lvlJc w:val="left"/>
      <w:lvlText w:val="•"/>
      <w:numFmt w:val="bullet"/>
      <w:start w:val="1"/>
    </w:lvl>
    <w:lvl w:ilvl="1">
      <w:lvlJc w:val="left"/>
      <w:lvlText w:val="(%2)"/>
      <w:numFmt w:val="decimal"/>
      <w:start w:val="1"/>
    </w:lvl>
  </w:abstractNum>
  <w:abstractNum w:abstractNumId="272">
    <w:nsid w:val="519EB94C"/>
    <w:multiLevelType w:val="hybridMultilevel"/>
    <w:lvl w:ilvl="0">
      <w:lvlJc w:val="left"/>
      <w:lvlText w:val="•"/>
      <w:numFmt w:val="bullet"/>
      <w:start w:val="1"/>
    </w:lvl>
  </w:abstractNum>
  <w:abstractNum w:abstractNumId="273">
    <w:nsid w:val="39DF2579"/>
    <w:multiLevelType w:val="hybridMultilevel"/>
    <w:lvl w:ilvl="0">
      <w:lvlJc w:val="left"/>
      <w:lvlText w:val="•"/>
      <w:numFmt w:val="bullet"/>
      <w:start w:val="1"/>
    </w:lvl>
  </w:abstractNum>
  <w:abstractNum w:abstractNumId="274">
    <w:nsid w:val="126E008B"/>
    <w:multiLevelType w:val="hybridMultilevel"/>
    <w:lvl w:ilvl="0">
      <w:lvlJc w:val="left"/>
      <w:lvlText w:val="•"/>
      <w:numFmt w:val="bullet"/>
      <w:start w:val="1"/>
    </w:lvl>
  </w:abstractNum>
  <w:abstractNum w:abstractNumId="275">
    <w:nsid w:val="34DFBC00"/>
    <w:multiLevelType w:val="hybridMultilevel"/>
    <w:lvl w:ilvl="0">
      <w:lvlJc w:val="left"/>
      <w:lvlText w:val="•"/>
      <w:numFmt w:val="bullet"/>
      <w:start w:val="1"/>
    </w:lvl>
  </w:abstractNum>
  <w:abstractNum w:abstractNumId="276">
    <w:nsid w:val="1F9EC322"/>
    <w:multiLevelType w:val="hybridMultilevel"/>
    <w:lvl w:ilvl="0">
      <w:lvlJc w:val="left"/>
      <w:lvlText w:val="%1"/>
      <w:numFmt w:val="lowerLetter"/>
      <w:start w:val="1"/>
    </w:lvl>
    <w:lvl w:ilvl="1">
      <w:lvlJc w:val="left"/>
      <w:lvlText w:val="%2."/>
      <w:numFmt w:val="decimal"/>
      <w:start w:val="1"/>
    </w:lvl>
  </w:abstractNum>
  <w:abstractNum w:abstractNumId="277">
    <w:nsid w:val="3410ED56"/>
    <w:multiLevelType w:val="hybridMultilevel"/>
    <w:lvl w:ilvl="0">
      <w:lvlJc w:val="left"/>
      <w:lvlText w:val="(%1)"/>
      <w:numFmt w:val="lowerLetter"/>
      <w:start w:val="1"/>
    </w:lvl>
    <w:lvl w:ilvl="1">
      <w:lvlJc w:val="left"/>
      <w:lvlText w:val="%2."/>
      <w:numFmt w:val="decimal"/>
      <w:start w:val="5"/>
    </w:lvl>
  </w:abstractNum>
  <w:abstractNum w:abstractNumId="278">
    <w:nsid w:val="23C049A"/>
    <w:multiLevelType w:val="hybridMultilevel"/>
    <w:lvl w:ilvl="0">
      <w:lvlJc w:val="left"/>
      <w:lvlText w:val="(%1)"/>
      <w:numFmt w:val="lowerLetter"/>
      <w:start w:val="1"/>
    </w:lvl>
  </w:abstractNum>
  <w:abstractNum w:abstractNumId="279">
    <w:nsid w:val="5BDA35D4"/>
    <w:multiLevelType w:val="hybridMultilevel"/>
    <w:lvl w:ilvl="0">
      <w:lvlJc w:val="left"/>
      <w:lvlText w:val="%1"/>
      <w:numFmt w:val="lowerLetter"/>
      <w:start w:val="1"/>
    </w:lvl>
    <w:lvl w:ilvl="1">
      <w:lvlJc w:val="left"/>
      <w:lvlText w:val="%2."/>
      <w:numFmt w:val="decimal"/>
      <w:start w:val="1"/>
    </w:lvl>
  </w:abstractNum>
  <w:abstractNum w:abstractNumId="280">
    <w:nsid w:val="496FB218"/>
    <w:multiLevelType w:val="hybridMultilevel"/>
    <w:lvl w:ilvl="0">
      <w:lvlJc w:val="left"/>
      <w:lvlText w:val="(%1)"/>
      <w:numFmt w:val="lowerLetter"/>
      <w:start w:val="1"/>
    </w:lvl>
    <w:lvl w:ilvl="1">
      <w:lvlJc w:val="left"/>
      <w:lvlText w:val="%2."/>
      <w:numFmt w:val="decimal"/>
      <w:start w:val="5"/>
    </w:lvl>
  </w:abstractNum>
  <w:abstractNum w:abstractNumId="281">
    <w:nsid w:val="680EA5D1"/>
    <w:multiLevelType w:val="hybridMultilevel"/>
    <w:lvl w:ilvl="0">
      <w:lvlJc w:val="left"/>
      <w:lvlText w:val="(%1)"/>
      <w:numFmt w:val="lowerLetter"/>
      <w:start w:val="1"/>
    </w:lvl>
  </w:abstractNum>
  <w:abstractNum w:abstractNumId="282">
    <w:nsid w:val="4A9554FE"/>
    <w:multiLevelType w:val="hybridMultilevel"/>
    <w:lvl w:ilvl="0">
      <w:lvlJc w:val="left"/>
      <w:lvlText w:val="%1."/>
      <w:numFmt w:val="decimal"/>
      <w:start w:val="1"/>
    </w:lvl>
  </w:abstractNum>
  <w:abstractNum w:abstractNumId="283">
    <w:nsid w:val="392EDB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7" Type="http://schemas.openxmlformats.org/officeDocument/2006/relationships/image" Target="media/image308.png"/><Relationship Id="rId338" Type="http://schemas.openxmlformats.org/officeDocument/2006/relationships/image" Target="media/image309.png"/><Relationship Id="rId339"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562" Type="http://schemas.openxmlformats.org/officeDocument/2006/relationships/image" Target="media/image530.png"/><Relationship Id="rId563" Type="http://schemas.openxmlformats.org/officeDocument/2006/relationships/image" Target="media/image531.png"/><Relationship Id="rId564" Type="http://schemas.openxmlformats.org/officeDocument/2006/relationships/image" Target="media/image532.png"/><Relationship Id="rId565" Type="http://schemas.openxmlformats.org/officeDocument/2006/relationships/image" Target="media/image533.png"/><Relationship Id="rId566" Type="http://schemas.openxmlformats.org/officeDocument/2006/relationships/image" Target="media/image534.png"/><Relationship Id="rId567" Type="http://schemas.openxmlformats.org/officeDocument/2006/relationships/image" Target="media/image535.png"/><Relationship Id="rId568" Type="http://schemas.openxmlformats.org/officeDocument/2006/relationships/image" Target="media/image536.png"/><Relationship Id="rId569" Type="http://schemas.openxmlformats.org/officeDocument/2006/relationships/image" Target="media/image537.png"/><Relationship Id="rId570" Type="http://schemas.openxmlformats.org/officeDocument/2006/relationships/image" Target="media/image538.png"/><Relationship Id="rId571" Type="http://schemas.openxmlformats.org/officeDocument/2006/relationships/image" Target="media/image539.png"/><Relationship Id="rId572" Type="http://schemas.openxmlformats.org/officeDocument/2006/relationships/image" Target="media/image540.png"/><Relationship Id="rId573" Type="http://schemas.openxmlformats.org/officeDocument/2006/relationships/image" Target="media/image541.png"/><Relationship Id="rId574" Type="http://schemas.openxmlformats.org/officeDocument/2006/relationships/image" Target="media/image542.png"/><Relationship Id="rId575" Type="http://schemas.openxmlformats.org/officeDocument/2006/relationships/image" Target="media/image543.png"/><Relationship Id="rId576" Type="http://schemas.openxmlformats.org/officeDocument/2006/relationships/image" Target="media/image544.png"/><Relationship Id="rId577" Type="http://schemas.openxmlformats.org/officeDocument/2006/relationships/image" Target="media/image545.png"/><Relationship Id="rId578" Type="http://schemas.openxmlformats.org/officeDocument/2006/relationships/image" Target="media/image546.png"/><Relationship Id="rId579" Type="http://schemas.openxmlformats.org/officeDocument/2006/relationships/image" Target="media/image547.png"/><Relationship Id="rId580" Type="http://schemas.openxmlformats.org/officeDocument/2006/relationships/image" Target="media/image548.png"/><Relationship Id="rId581" Type="http://schemas.openxmlformats.org/officeDocument/2006/relationships/image" Target="media/image549.png"/><Relationship Id="rId582" Type="http://schemas.openxmlformats.org/officeDocument/2006/relationships/image" Target="media/image550.png"/><Relationship Id="rId583" Type="http://schemas.openxmlformats.org/officeDocument/2006/relationships/image" Target="media/image551.png"/><Relationship Id="rId584" Type="http://schemas.openxmlformats.org/officeDocument/2006/relationships/image" Target="media/image552.png"/><Relationship Id="rId585" Type="http://schemas.openxmlformats.org/officeDocument/2006/relationships/image" Target="media/image553.png"/><Relationship Id="rId586" Type="http://schemas.openxmlformats.org/officeDocument/2006/relationships/image" Target="media/image554.png"/><Relationship Id="rId587" Type="http://schemas.openxmlformats.org/officeDocument/2006/relationships/image" Target="media/image555.png"/><Relationship Id="rId588" Type="http://schemas.openxmlformats.org/officeDocument/2006/relationships/image" Target="media/image556.png"/><Relationship Id="rId589" Type="http://schemas.openxmlformats.org/officeDocument/2006/relationships/image" Target="media/image557.png"/><Relationship Id="rId590" Type="http://schemas.openxmlformats.org/officeDocument/2006/relationships/image" Target="media/image558.png"/><Relationship Id="rId591" Type="http://schemas.openxmlformats.org/officeDocument/2006/relationships/image" Target="media/image559.png"/><Relationship Id="rId592" Type="http://schemas.openxmlformats.org/officeDocument/2006/relationships/image" Target="media/image560.png"/><Relationship Id="rId593" Type="http://schemas.openxmlformats.org/officeDocument/2006/relationships/image" Target="media/image561.png"/><Relationship Id="rId594" Type="http://schemas.openxmlformats.org/officeDocument/2006/relationships/image" Target="media/image562.png"/><Relationship Id="rId595" Type="http://schemas.openxmlformats.org/officeDocument/2006/relationships/image" Target="media/image563.png"/><Relationship Id="rId596" Type="http://schemas.openxmlformats.org/officeDocument/2006/relationships/image" Target="media/image564.png"/><Relationship Id="rId597" Type="http://schemas.openxmlformats.org/officeDocument/2006/relationships/image" Target="media/image565.png"/><Relationship Id="rId598" Type="http://schemas.openxmlformats.org/officeDocument/2006/relationships/image" Target="media/image566.png"/><Relationship Id="rId599" Type="http://schemas.openxmlformats.org/officeDocument/2006/relationships/image" Target="media/image567.png"/><Relationship Id="rId600" Type="http://schemas.openxmlformats.org/officeDocument/2006/relationships/image" Target="media/image568.png"/><Relationship Id="rId601" Type="http://schemas.openxmlformats.org/officeDocument/2006/relationships/image" Target="media/image569.png"/><Relationship Id="rId602" Type="http://schemas.openxmlformats.org/officeDocument/2006/relationships/image" Target="media/image570.png"/><Relationship Id="rId603" Type="http://schemas.openxmlformats.org/officeDocument/2006/relationships/image" Target="media/image571.png"/><Relationship Id="rId604" Type="http://schemas.openxmlformats.org/officeDocument/2006/relationships/image" Target="media/image572.png"/><Relationship Id="rId605" Type="http://schemas.openxmlformats.org/officeDocument/2006/relationships/image" Target="media/image573.png"/><Relationship Id="rId606" Type="http://schemas.openxmlformats.org/officeDocument/2006/relationships/image" Target="media/image574.png"/><Relationship Id="rId607" Type="http://schemas.openxmlformats.org/officeDocument/2006/relationships/image" Target="media/image575.png"/><Relationship Id="rId608" Type="http://schemas.openxmlformats.org/officeDocument/2006/relationships/image" Target="media/image576.png"/><Relationship Id="rId609" Type="http://schemas.openxmlformats.org/officeDocument/2006/relationships/image" Target="media/image577.png"/><Relationship Id="rId610"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3" Type="http://schemas.openxmlformats.org/officeDocument/2006/relationships/image" Target="media/image581.png"/><Relationship Id="rId614" Type="http://schemas.openxmlformats.org/officeDocument/2006/relationships/image" Target="media/image582.png"/><Relationship Id="rId615" Type="http://schemas.openxmlformats.org/officeDocument/2006/relationships/image" Target="media/image583.png"/><Relationship Id="rId616" Type="http://schemas.openxmlformats.org/officeDocument/2006/relationships/image" Target="media/image584.png"/><Relationship Id="rId617" Type="http://schemas.openxmlformats.org/officeDocument/2006/relationships/image" Target="media/image585.png"/><Relationship Id="rId618" Type="http://schemas.openxmlformats.org/officeDocument/2006/relationships/image" Target="media/image586.png"/><Relationship Id="rId619" Type="http://schemas.openxmlformats.org/officeDocument/2006/relationships/image" Target="media/image587.png"/><Relationship Id="rId620" Type="http://schemas.openxmlformats.org/officeDocument/2006/relationships/image" Target="media/image588.png"/><Relationship Id="rId621" Type="http://schemas.openxmlformats.org/officeDocument/2006/relationships/image" Target="media/image589.png"/><Relationship Id="rId622" Type="http://schemas.openxmlformats.org/officeDocument/2006/relationships/image" Target="media/image590.png"/><Relationship Id="rId623" Type="http://schemas.openxmlformats.org/officeDocument/2006/relationships/image" Target="media/image591.png"/><Relationship Id="rId624" Type="http://schemas.openxmlformats.org/officeDocument/2006/relationships/image" Target="media/image592.png"/><Relationship Id="rId625" Type="http://schemas.openxmlformats.org/officeDocument/2006/relationships/image" Target="media/image593.png"/><Relationship Id="rId626" Type="http://schemas.openxmlformats.org/officeDocument/2006/relationships/image" Target="media/image594.png"/><Relationship Id="rId627" Type="http://schemas.openxmlformats.org/officeDocument/2006/relationships/image" Target="media/image595.png"/><Relationship Id="rId628" Type="http://schemas.openxmlformats.org/officeDocument/2006/relationships/image" Target="media/image596.png"/><Relationship Id="rId629" Type="http://schemas.openxmlformats.org/officeDocument/2006/relationships/image" Target="media/image597.png"/><Relationship Id="rId630" Type="http://schemas.openxmlformats.org/officeDocument/2006/relationships/image" Target="media/image598.png"/><Relationship Id="rId631" Type="http://schemas.openxmlformats.org/officeDocument/2006/relationships/image" Target="media/image599.png"/><Relationship Id="rId632" Type="http://schemas.openxmlformats.org/officeDocument/2006/relationships/image" Target="media/image600.png"/><Relationship Id="rId633" Type="http://schemas.openxmlformats.org/officeDocument/2006/relationships/image" Target="media/image601.png"/><Relationship Id="rId634" Type="http://schemas.openxmlformats.org/officeDocument/2006/relationships/image" Target="media/image602.png"/><Relationship Id="rId635" Type="http://schemas.openxmlformats.org/officeDocument/2006/relationships/image" Target="media/image603.png"/><Relationship Id="rId636" Type="http://schemas.openxmlformats.org/officeDocument/2006/relationships/image" Target="media/image604.png"/><Relationship Id="rId637" Type="http://schemas.openxmlformats.org/officeDocument/2006/relationships/image" Target="media/image605.png"/><Relationship Id="rId638" Type="http://schemas.openxmlformats.org/officeDocument/2006/relationships/image" Target="media/image606.png"/><Relationship Id="rId639" Type="http://schemas.openxmlformats.org/officeDocument/2006/relationships/image" Target="media/image607.png"/><Relationship Id="rId640" Type="http://schemas.openxmlformats.org/officeDocument/2006/relationships/image" Target="media/image608.png"/><Relationship Id="rId641" Type="http://schemas.openxmlformats.org/officeDocument/2006/relationships/image" Target="media/image609.png"/><Relationship Id="rId642" Type="http://schemas.openxmlformats.org/officeDocument/2006/relationships/image" Target="media/image610.png"/><Relationship Id="rId643" Type="http://schemas.openxmlformats.org/officeDocument/2006/relationships/image" Target="media/image611.png"/><Relationship Id="rId644" Type="http://schemas.openxmlformats.org/officeDocument/2006/relationships/image" Target="media/image612.png"/><Relationship Id="rId645" Type="http://schemas.openxmlformats.org/officeDocument/2006/relationships/image" Target="media/image613.png"/><Relationship Id="rId646" Type="http://schemas.openxmlformats.org/officeDocument/2006/relationships/image" Target="media/image614.png"/><Relationship Id="rId647" Type="http://schemas.openxmlformats.org/officeDocument/2006/relationships/image" Target="media/image615.png"/><Relationship Id="rId648" Type="http://schemas.openxmlformats.org/officeDocument/2006/relationships/image" Target="media/image616.png"/><Relationship Id="rId649" Type="http://schemas.openxmlformats.org/officeDocument/2006/relationships/image" Target="media/image617.png"/><Relationship Id="rId650" Type="http://schemas.openxmlformats.org/officeDocument/2006/relationships/image" Target="media/image618.png"/><Relationship Id="rId651" Type="http://schemas.openxmlformats.org/officeDocument/2006/relationships/image" Target="media/image619.png"/><Relationship Id="rId652" Type="http://schemas.openxmlformats.org/officeDocument/2006/relationships/image" Target="media/image620.png"/><Relationship Id="rId653" Type="http://schemas.openxmlformats.org/officeDocument/2006/relationships/image" Target="media/image621.png"/><Relationship Id="rId654" Type="http://schemas.openxmlformats.org/officeDocument/2006/relationships/image" Target="media/image622.png"/><Relationship Id="rId655" Type="http://schemas.openxmlformats.org/officeDocument/2006/relationships/image" Target="media/image623.png"/><Relationship Id="rId656" Type="http://schemas.openxmlformats.org/officeDocument/2006/relationships/image" Target="media/image624.png"/><Relationship Id="rId657" Type="http://schemas.openxmlformats.org/officeDocument/2006/relationships/image" Target="media/image625.png"/><Relationship Id="rId658" Type="http://schemas.openxmlformats.org/officeDocument/2006/relationships/image" Target="media/image626.png"/><Relationship Id="rId659" Type="http://schemas.openxmlformats.org/officeDocument/2006/relationships/image" Target="media/image627.png"/><Relationship Id="rId660" Type="http://schemas.openxmlformats.org/officeDocument/2006/relationships/image" Target="media/image628.png"/><Relationship Id="rId661" Type="http://schemas.openxmlformats.org/officeDocument/2006/relationships/image" Target="media/image629.png"/><Relationship Id="rId662" Type="http://schemas.openxmlformats.org/officeDocument/2006/relationships/image" Target="media/image630.png"/><Relationship Id="rId663" Type="http://schemas.openxmlformats.org/officeDocument/2006/relationships/image" Target="media/image631.png"/><Relationship Id="rId664" Type="http://schemas.openxmlformats.org/officeDocument/2006/relationships/image" Target="media/image632.png"/><Relationship Id="rId665" Type="http://schemas.openxmlformats.org/officeDocument/2006/relationships/image" Target="media/image633.png"/><Relationship Id="rId666" Type="http://schemas.openxmlformats.org/officeDocument/2006/relationships/image" Target="media/image634.png"/><Relationship Id="rId667" Type="http://schemas.openxmlformats.org/officeDocument/2006/relationships/image" Target="media/image635.png"/><Relationship Id="rId668" Type="http://schemas.openxmlformats.org/officeDocument/2006/relationships/image" Target="media/image636.png"/><Relationship Id="rId669" Type="http://schemas.openxmlformats.org/officeDocument/2006/relationships/image" Target="media/image637.png"/><Relationship Id="rId670" Type="http://schemas.openxmlformats.org/officeDocument/2006/relationships/image" Target="media/image638.png"/><Relationship Id="rId671" Type="http://schemas.openxmlformats.org/officeDocument/2006/relationships/image" Target="media/image639.png"/><Relationship Id="rId672" Type="http://schemas.openxmlformats.org/officeDocument/2006/relationships/image" Target="media/image640.png"/><Relationship Id="rId673" Type="http://schemas.openxmlformats.org/officeDocument/2006/relationships/image" Target="media/image641.png"/><Relationship Id="rId674" Type="http://schemas.openxmlformats.org/officeDocument/2006/relationships/image" Target="media/image642.png"/><Relationship Id="rId675" Type="http://schemas.openxmlformats.org/officeDocument/2006/relationships/image" Target="media/image643.png"/><Relationship Id="rId676" Type="http://schemas.openxmlformats.org/officeDocument/2006/relationships/image" Target="media/image644.png"/><Relationship Id="rId677" Type="http://schemas.openxmlformats.org/officeDocument/2006/relationships/image" Target="media/image645.png"/><Relationship Id="rId678" Type="http://schemas.openxmlformats.org/officeDocument/2006/relationships/image" Target="media/image646.png"/><Relationship Id="rId679" Type="http://schemas.openxmlformats.org/officeDocument/2006/relationships/image" Target="media/image647.png"/><Relationship Id="rId680" Type="http://schemas.openxmlformats.org/officeDocument/2006/relationships/image" Target="media/image648.png"/><Relationship Id="rId681" Type="http://schemas.openxmlformats.org/officeDocument/2006/relationships/image" Target="media/image649.png"/><Relationship Id="rId682" Type="http://schemas.openxmlformats.org/officeDocument/2006/relationships/image" Target="media/image650.png"/><Relationship Id="rId683" Type="http://schemas.openxmlformats.org/officeDocument/2006/relationships/image" Target="media/image651.png"/><Relationship Id="rId684" Type="http://schemas.openxmlformats.org/officeDocument/2006/relationships/image" Target="media/image652.png"/><Relationship Id="rId685" Type="http://schemas.openxmlformats.org/officeDocument/2006/relationships/image" Target="media/image653.png"/><Relationship Id="rId686" Type="http://schemas.openxmlformats.org/officeDocument/2006/relationships/image" Target="media/image654.png"/><Relationship Id="rId687" Type="http://schemas.openxmlformats.org/officeDocument/2006/relationships/image" Target="media/image655.png"/><Relationship Id="rId688" Type="http://schemas.openxmlformats.org/officeDocument/2006/relationships/image" Target="media/image656.png"/><Relationship Id="rId689" Type="http://schemas.openxmlformats.org/officeDocument/2006/relationships/image" Target="media/image657.png"/><Relationship Id="rId690" Type="http://schemas.openxmlformats.org/officeDocument/2006/relationships/image" Target="media/image658.png"/><Relationship Id="rId691" Type="http://schemas.openxmlformats.org/officeDocument/2006/relationships/image" Target="media/image659.png"/><Relationship Id="rId692" Type="http://schemas.openxmlformats.org/officeDocument/2006/relationships/image" Target="media/image660.png"/><Relationship Id="rId693" Type="http://schemas.openxmlformats.org/officeDocument/2006/relationships/image" Target="media/image661.png"/><Relationship Id="rId694" Type="http://schemas.openxmlformats.org/officeDocument/2006/relationships/image" Target="media/image662.png"/><Relationship Id="rId695" Type="http://schemas.openxmlformats.org/officeDocument/2006/relationships/image" Target="media/image663.png"/><Relationship Id="rId696" Type="http://schemas.openxmlformats.org/officeDocument/2006/relationships/image" Target="media/image664.png"/><Relationship Id="rId697" Type="http://schemas.openxmlformats.org/officeDocument/2006/relationships/image" Target="media/image665.png"/><Relationship Id="rId698" Type="http://schemas.openxmlformats.org/officeDocument/2006/relationships/image" Target="media/image666.png"/><Relationship Id="rId699" Type="http://schemas.openxmlformats.org/officeDocument/2006/relationships/image" Target="media/image667.png"/><Relationship Id="rId700" Type="http://schemas.openxmlformats.org/officeDocument/2006/relationships/image" Target="media/image668.png"/><Relationship Id="rId701" Type="http://schemas.openxmlformats.org/officeDocument/2006/relationships/image" Target="media/image669.png"/><Relationship Id="rId702" Type="http://schemas.openxmlformats.org/officeDocument/2006/relationships/image" Target="media/image670.png"/><Relationship Id="rId703" Type="http://schemas.openxmlformats.org/officeDocument/2006/relationships/image" Target="media/image671.png"/><Relationship Id="rId704" Type="http://schemas.openxmlformats.org/officeDocument/2006/relationships/image" Target="media/image672.png"/><Relationship Id="rId705" Type="http://schemas.openxmlformats.org/officeDocument/2006/relationships/image" Target="media/image673.png"/><Relationship Id="rId706" Type="http://schemas.openxmlformats.org/officeDocument/2006/relationships/image" Target="media/image674.png"/><Relationship Id="rId707" Type="http://schemas.openxmlformats.org/officeDocument/2006/relationships/image" Target="media/image675.png"/><Relationship Id="rId708" Type="http://schemas.openxmlformats.org/officeDocument/2006/relationships/image" Target="media/image676.png"/><Relationship Id="rId709" Type="http://schemas.openxmlformats.org/officeDocument/2006/relationships/image" Target="media/image677.png"/><Relationship Id="rId710" Type="http://schemas.openxmlformats.org/officeDocument/2006/relationships/image" Target="media/image678.png"/><Relationship Id="rId711" Type="http://schemas.openxmlformats.org/officeDocument/2006/relationships/image" Target="media/image679.png"/><Relationship Id="rId712" Type="http://schemas.openxmlformats.org/officeDocument/2006/relationships/image" Target="media/image680.png"/><Relationship Id="rId713" Type="http://schemas.openxmlformats.org/officeDocument/2006/relationships/image" Target="media/image681.png"/><Relationship Id="rId714" Type="http://schemas.openxmlformats.org/officeDocument/2006/relationships/image" Target="media/image682.png"/><Relationship Id="rId715" Type="http://schemas.openxmlformats.org/officeDocument/2006/relationships/image" Target="media/image683.png"/><Relationship Id="rId716" Type="http://schemas.openxmlformats.org/officeDocument/2006/relationships/image" Target="media/image684.png"/><Relationship Id="rId717" Type="http://schemas.openxmlformats.org/officeDocument/2006/relationships/image" Target="media/image685.png"/><Relationship Id="rId718" Type="http://schemas.openxmlformats.org/officeDocument/2006/relationships/image" Target="media/image686.png"/><Relationship Id="rId719" Type="http://schemas.openxmlformats.org/officeDocument/2006/relationships/image" Target="media/image687.png"/><Relationship Id="rId720" Type="http://schemas.openxmlformats.org/officeDocument/2006/relationships/image" Target="media/image688.png"/><Relationship Id="rId721" Type="http://schemas.openxmlformats.org/officeDocument/2006/relationships/image" Target="media/image689.png"/><Relationship Id="rId722" Type="http://schemas.openxmlformats.org/officeDocument/2006/relationships/image" Target="media/image690.png"/><Relationship Id="rId723" Type="http://schemas.openxmlformats.org/officeDocument/2006/relationships/image" Target="media/image691.png"/><Relationship Id="rId724" Type="http://schemas.openxmlformats.org/officeDocument/2006/relationships/image" Target="media/image692.png"/><Relationship Id="rId725" Type="http://schemas.openxmlformats.org/officeDocument/2006/relationships/image" Target="media/image693.png"/><Relationship Id="rId726" Type="http://schemas.openxmlformats.org/officeDocument/2006/relationships/image" Target="media/image694.png"/><Relationship Id="rId727" Type="http://schemas.openxmlformats.org/officeDocument/2006/relationships/image" Target="media/image695.png"/><Relationship Id="rId728" Type="http://schemas.openxmlformats.org/officeDocument/2006/relationships/image" Target="media/image696.png"/><Relationship Id="rId729" Type="http://schemas.openxmlformats.org/officeDocument/2006/relationships/image" Target="media/image697.png"/><Relationship Id="rId730" Type="http://schemas.openxmlformats.org/officeDocument/2006/relationships/image" Target="media/image698.png"/><Relationship Id="rId731" Type="http://schemas.openxmlformats.org/officeDocument/2006/relationships/image" Target="media/image699.png"/><Relationship Id="rId732" Type="http://schemas.openxmlformats.org/officeDocument/2006/relationships/image" Target="media/image700.png"/><Relationship Id="rId733" Type="http://schemas.openxmlformats.org/officeDocument/2006/relationships/image" Target="media/image701.png"/><Relationship Id="rId734" Type="http://schemas.openxmlformats.org/officeDocument/2006/relationships/image" Target="media/image702.png"/><Relationship Id="rId735" Type="http://schemas.openxmlformats.org/officeDocument/2006/relationships/image" Target="media/image703.png"/><Relationship Id="rId736" Type="http://schemas.openxmlformats.org/officeDocument/2006/relationships/image" Target="media/image704.png"/><Relationship Id="rId737" Type="http://schemas.openxmlformats.org/officeDocument/2006/relationships/image" Target="media/image705.png"/><Relationship Id="rId738" Type="http://schemas.openxmlformats.org/officeDocument/2006/relationships/image" Target="media/image706.png"/><Relationship Id="rId739" Type="http://schemas.openxmlformats.org/officeDocument/2006/relationships/image" Target="media/image707.png"/><Relationship Id="rId740" Type="http://schemas.openxmlformats.org/officeDocument/2006/relationships/image" Target="media/image708.png"/><Relationship Id="rId741" Type="http://schemas.openxmlformats.org/officeDocument/2006/relationships/image" Target="media/image709.png"/><Relationship Id="rId742" Type="http://schemas.openxmlformats.org/officeDocument/2006/relationships/image" Target="media/image710.png"/><Relationship Id="rId743" Type="http://schemas.openxmlformats.org/officeDocument/2006/relationships/image" Target="media/image711.png"/><Relationship Id="rId744" Type="http://schemas.openxmlformats.org/officeDocument/2006/relationships/image" Target="media/image712.png"/><Relationship Id="rId745" Type="http://schemas.openxmlformats.org/officeDocument/2006/relationships/image" Target="media/image713.png"/><Relationship Id="rId746" Type="http://schemas.openxmlformats.org/officeDocument/2006/relationships/image" Target="media/image714.png"/><Relationship Id="rId747" Type="http://schemas.openxmlformats.org/officeDocument/2006/relationships/image" Target="media/image715.jpeg"/><Relationship Id="rId748" Type="http://schemas.openxmlformats.org/officeDocument/2006/relationships/image" Target="media/image716.png"/><Relationship Id="rId749" Type="http://schemas.openxmlformats.org/officeDocument/2006/relationships/image" Target="media/image717.jpeg"/><Relationship Id="rId750" Type="http://schemas.openxmlformats.org/officeDocument/2006/relationships/image" Target="media/image718.jpeg"/><Relationship Id="rId751" Type="http://schemas.openxmlformats.org/officeDocument/2006/relationships/image" Target="media/image719.jpeg"/><Relationship Id="rId752" Type="http://schemas.openxmlformats.org/officeDocument/2006/relationships/image" Target="media/image720.png"/><Relationship Id="rId753" Type="http://schemas.openxmlformats.org/officeDocument/2006/relationships/image" Target="media/image721.jpeg"/><Relationship Id="rId754" Type="http://schemas.openxmlformats.org/officeDocument/2006/relationships/image" Target="media/image722.jpeg"/><Relationship Id="rId755" Type="http://schemas.openxmlformats.org/officeDocument/2006/relationships/image" Target="media/image723.png"/><Relationship Id="rId756" Type="http://schemas.openxmlformats.org/officeDocument/2006/relationships/image" Target="media/image724.jpeg"/><Relationship Id="rId307" Type="http://schemas.openxmlformats.org/officeDocument/2006/relationships/hyperlink" Target="https://www.sec.gov/Archives/edgar/data/1743102/000119312518353025/d658943dex32.htm" TargetMode="External"/><Relationship Id="rId308" Type="http://schemas.openxmlformats.org/officeDocument/2006/relationships/hyperlink" Target="https://www.sec.gov/Archives/edgar/data/1472033/000119380519000120/e618196_ex99-a.htm" TargetMode="External"/><Relationship Id="rId309" Type="http://schemas.openxmlformats.org/officeDocument/2006/relationships/hyperlink" Target="https://www.sec.gov/Archives/edgar/data/0001743102/000119312519029618/d658943dex42.htm" TargetMode="External"/><Relationship Id="rId310" Type="http://schemas.openxmlformats.org/officeDocument/2006/relationships/hyperlink" Target="https://www.sec.gov/Archives/edgar/data/1743102/000156459022016852/jfin-ex24_699.htm" TargetMode="External"/><Relationship Id="rId311" Type="http://schemas.openxmlformats.org/officeDocument/2006/relationships/hyperlink" Target="https://www.sec.gov/Archives/edgar/data/0001743102/000119312519029618/d658943dex101.htm" TargetMode="External"/><Relationship Id="rId312" Type="http://schemas.openxmlformats.org/officeDocument/2006/relationships/hyperlink" Target="https://www.sec.gov/Archives/edgar/data/1743102/000119312519237503/d799010dex101.htm" TargetMode="External"/><Relationship Id="rId313" Type="http://schemas.openxmlformats.org/officeDocument/2006/relationships/hyperlink" Target="https://www.sec.gov/Archives/edgar/data/0001743102/000119312518353025/d658943dex103.htm" TargetMode="External"/><Relationship Id="rId314" Type="http://schemas.openxmlformats.org/officeDocument/2006/relationships/hyperlink" Target="https://www.sec.gov/Archives/edgar/data/0001743102/000119312518353025/d658943dex104.htm" TargetMode="External"/><Relationship Id="rId315" Type="http://schemas.openxmlformats.org/officeDocument/2006/relationships/hyperlink" Target="https://www.sec.gov/Archives/edgar/data/1743102/000119312518353025/d658943dex105.htm" TargetMode="External"/><Relationship Id="rId316" Type="http://schemas.openxmlformats.org/officeDocument/2006/relationships/hyperlink" Target="https://www.sec.gov/Archives/edgar/data/1743102/000119312518353025/d658943dex106.htm" TargetMode="External"/><Relationship Id="rId317" Type="http://schemas.openxmlformats.org/officeDocument/2006/relationships/hyperlink" Target="https://www.sec.gov/Archives/edgar/data/1743102/000119312518353025/d658943dex107.htm" TargetMode="External"/><Relationship Id="rId320" Type="http://schemas.openxmlformats.org/officeDocument/2006/relationships/hyperlink" Target="https://www.sec.gov/Archives/edgar/data/1743102/000119312518353025/d658943dex108.htm" TargetMode="External"/><Relationship Id="rId321" Type="http://schemas.openxmlformats.org/officeDocument/2006/relationships/hyperlink" Target="https://www.sec.gov/Archives/edgar/data/1743102/000119312518353025/d658943dex109.htm" TargetMode="External"/><Relationship Id="rId322" Type="http://schemas.openxmlformats.org/officeDocument/2006/relationships/hyperlink" Target="https://www.sec.gov/Archives/edgar/data/1743102/000119312518353025/d658943dex1010.htm" TargetMode="External"/><Relationship Id="rId323" Type="http://schemas.openxmlformats.org/officeDocument/2006/relationships/hyperlink" Target="https://www.sec.gov/Archives/edgar/data/1743102/000119312518353025/d658943dex1011.htm" TargetMode="External"/><Relationship Id="rId324" Type="http://schemas.openxmlformats.org/officeDocument/2006/relationships/hyperlink" Target="https://www.sec.gov/Archives/edgar/data/1743102/000119312518353025/d658943dex1012.htm" TargetMode="External"/><Relationship Id="rId325" Type="http://schemas.openxmlformats.org/officeDocument/2006/relationships/hyperlink" Target="https://www.sec.gov/Archives/edgar/data/1743102/000119312519245464/d803446dex992.htm" TargetMode="External"/><Relationship Id="rId326" Type="http://schemas.openxmlformats.org/officeDocument/2006/relationships/hyperlink" Target="https://www.sec.gov/Archives/edgar/data/1743102/000119312519245464/d803446dex993.htm" TargetMode="External"/><Relationship Id="rId327" Type="http://schemas.openxmlformats.org/officeDocument/2006/relationships/hyperlink" Target="https://www.sec.gov/Archives/edgar/data/1743102/000119312519273171/d822095dex992.htm" TargetMode="External"/><Relationship Id="rId328" Type="http://schemas.openxmlformats.org/officeDocument/2006/relationships/hyperlink" Target="https://www.sec.gov/Archives/edgar/data/1743102/000156459021017508/jfin-ex992_9.htm" TargetMode="External"/><Relationship Id="rId331" Type="http://schemas.openxmlformats.org/officeDocument/2006/relationships/hyperlink" Target="https://www.sec.gov/Archives/edgar/data/1743102/000119312522000267/d277362dex992.htm" TargetMode="External"/><Relationship Id="rId336" Type="http://schemas.openxmlformats.org/officeDocument/2006/relationships/hyperlink" Target="https://www.sec.gov/Archives/edgar/data/1743102/000095017024049940/jfin-ex4_18.htm" TargetMode="External"/><Relationship Id="rId340" Type="http://schemas.openxmlformats.org/officeDocument/2006/relationships/hyperlink" Target="https://www.sec.gov/Archives/edgar/data/1743102/000095017025058942/jfin-ex4_19.htm" TargetMode="External"/><Relationship Id="rId344" Type="http://schemas.openxmlformats.org/officeDocument/2006/relationships/hyperlink" Target="https://www.sec.gov/Archives/edgar/data/1743102/000119312518353025/d658943dex991.htm" TargetMode="External"/><Relationship Id="rId345" Type="http://schemas.openxmlformats.org/officeDocument/2006/relationships/hyperlink" Target="https://www.sec.gov/Archives/edgar/data/1743102/000095017024049940/jfi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2026-04-28T06:26:25Z</dcterms:created>
  <dcterms:modified xsi:type="dcterms:W3CDTF">2026-04-28T06:26:25Z</dcterms:modified>
</cp:coreProperties>
</file>